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215F2" w14:textId="3853ED2F" w:rsidR="006B65C5" w:rsidRPr="00A82992" w:rsidRDefault="005F5D38">
      <w:pPr>
        <w:jc w:val="center"/>
        <w:rPr>
          <w:rFonts w:ascii="方正小标宋简体" w:eastAsia="方正小标宋简体" w:cs="仿宋_GB2312"/>
          <w:bCs/>
          <w:color w:val="000000" w:themeColor="text1"/>
          <w:sz w:val="44"/>
          <w:szCs w:val="44"/>
        </w:rPr>
      </w:pPr>
      <w:r w:rsidRPr="00A82992">
        <w:rPr>
          <w:rFonts w:ascii="方正小标宋简体" w:eastAsia="方正小标宋简体" w:cs="仿宋_GB2312" w:hint="eastAsia"/>
          <w:bCs/>
          <w:color w:val="000000" w:themeColor="text1"/>
          <w:sz w:val="44"/>
          <w:szCs w:val="44"/>
        </w:rPr>
        <w:t>团体标准《</w:t>
      </w:r>
      <w:r w:rsidR="005E1815" w:rsidRPr="005E1815">
        <w:rPr>
          <w:rFonts w:ascii="方正小标宋简体" w:eastAsia="方正小标宋简体" w:cs="仿宋_GB2312" w:hint="eastAsia"/>
          <w:bCs/>
          <w:color w:val="000000" w:themeColor="text1"/>
          <w:sz w:val="44"/>
          <w:szCs w:val="44"/>
        </w:rPr>
        <w:t>横县鱼生全链条管理规范  第5部分：供应链管理</w:t>
      </w:r>
      <w:r w:rsidRPr="00A82992">
        <w:rPr>
          <w:rFonts w:ascii="方正小标宋简体" w:eastAsia="方正小标宋简体" w:cs="仿宋_GB2312" w:hint="eastAsia"/>
          <w:bCs/>
          <w:color w:val="000000" w:themeColor="text1"/>
          <w:sz w:val="44"/>
          <w:szCs w:val="44"/>
        </w:rPr>
        <w:t>》（征求意见稿）编制说明</w:t>
      </w:r>
    </w:p>
    <w:p w14:paraId="01B0B1CB" w14:textId="77777777" w:rsidR="006B65C5" w:rsidRPr="00A82992" w:rsidRDefault="006B65C5">
      <w:pPr>
        <w:ind w:firstLine="378"/>
        <w:jc w:val="center"/>
        <w:rPr>
          <w:rFonts w:ascii="方正小标宋简体" w:eastAsia="方正小标宋简体" w:cs="仿宋_GB2312"/>
          <w:bCs/>
          <w:color w:val="000000" w:themeColor="text1"/>
          <w:sz w:val="18"/>
          <w:szCs w:val="18"/>
        </w:rPr>
      </w:pPr>
    </w:p>
    <w:p w14:paraId="72A17A28" w14:textId="77777777" w:rsidR="006B65C5" w:rsidRPr="00A82992" w:rsidRDefault="005F5D38">
      <w:pPr>
        <w:pStyle w:val="afe"/>
        <w:ind w:firstLineChars="200" w:firstLine="640"/>
        <w:jc w:val="left"/>
        <w:rPr>
          <w:rFonts w:ascii="黑体" w:eastAsia="黑体" w:hAnsi="黑体"/>
          <w:b w:val="0"/>
          <w:color w:val="000000" w:themeColor="text1"/>
        </w:rPr>
      </w:pPr>
      <w:r w:rsidRPr="00A82992">
        <w:rPr>
          <w:rFonts w:ascii="黑体" w:eastAsia="黑体" w:hAnsi="黑体" w:hint="eastAsia"/>
          <w:b w:val="0"/>
          <w:color w:val="000000" w:themeColor="text1"/>
        </w:rPr>
        <w:t>一、任务来源、起草单位、</w:t>
      </w:r>
      <w:r w:rsidRPr="00A82992">
        <w:rPr>
          <w:rFonts w:ascii="黑体" w:eastAsia="黑体" w:hAnsi="黑体"/>
          <w:b w:val="0"/>
          <w:color w:val="000000" w:themeColor="text1"/>
        </w:rPr>
        <w:t>主要起草人</w:t>
      </w:r>
    </w:p>
    <w:p w14:paraId="37D84054" w14:textId="7B0A2C7B" w:rsidR="006B65C5" w:rsidRPr="00A82992" w:rsidRDefault="005F5D38" w:rsidP="008B29D3">
      <w:pPr>
        <w:spacing w:afterLines="50" w:after="120"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根据《</w:t>
      </w:r>
      <w:r w:rsidR="00DE368F" w:rsidRPr="00DE368F">
        <w:rPr>
          <w:rFonts w:ascii="仿宋_GB2312" w:eastAsia="仿宋_GB2312" w:hint="eastAsia"/>
          <w:color w:val="000000" w:themeColor="text1"/>
          <w:sz w:val="32"/>
          <w:szCs w:val="32"/>
        </w:rPr>
        <w:t>广西营养学会关于下达2025年第一批团体标准制修订项目计划的通知</w:t>
      </w:r>
      <w:r w:rsidRPr="00A82992">
        <w:rPr>
          <w:rFonts w:ascii="仿宋_GB2312" w:eastAsia="仿宋_GB2312" w:hint="eastAsia"/>
          <w:color w:val="000000" w:themeColor="text1"/>
          <w:sz w:val="32"/>
          <w:szCs w:val="32"/>
        </w:rPr>
        <w:t>》（</w:t>
      </w:r>
      <w:r w:rsidR="00DE368F" w:rsidRPr="00DE368F">
        <w:rPr>
          <w:rFonts w:ascii="仿宋_GB2312" w:eastAsia="仿宋_GB2312" w:hint="eastAsia"/>
          <w:color w:val="000000" w:themeColor="text1"/>
          <w:sz w:val="32"/>
          <w:szCs w:val="32"/>
        </w:rPr>
        <w:t>桂营学字</w:t>
      </w:r>
      <w:r w:rsidRPr="00A82992">
        <w:rPr>
          <w:rFonts w:ascii="仿宋_GB2312" w:eastAsia="仿宋_GB2312" w:hint="eastAsia"/>
          <w:color w:val="000000" w:themeColor="text1"/>
          <w:sz w:val="32"/>
          <w:szCs w:val="32"/>
        </w:rPr>
        <w:t>〔</w:t>
      </w:r>
      <w:r w:rsidRPr="00A82992">
        <w:rPr>
          <w:rFonts w:ascii="仿宋_GB2312" w:eastAsia="仿宋_GB2312"/>
          <w:color w:val="000000" w:themeColor="text1"/>
          <w:sz w:val="32"/>
          <w:szCs w:val="32"/>
        </w:rPr>
        <w:t>2025</w:t>
      </w:r>
      <w:r w:rsidRPr="00A82992">
        <w:rPr>
          <w:rFonts w:ascii="仿宋_GB2312" w:eastAsia="仿宋_GB2312" w:hint="eastAsia"/>
          <w:color w:val="000000" w:themeColor="text1"/>
          <w:sz w:val="32"/>
          <w:szCs w:val="32"/>
        </w:rPr>
        <w:t>〕</w:t>
      </w:r>
      <w:r w:rsidR="00DE368F">
        <w:rPr>
          <w:rFonts w:ascii="仿宋_GB2312" w:eastAsia="仿宋_GB2312"/>
          <w:color w:val="000000" w:themeColor="text1"/>
          <w:sz w:val="32"/>
          <w:szCs w:val="32"/>
        </w:rPr>
        <w:t>7</w:t>
      </w:r>
      <w:r w:rsidRPr="00A82992">
        <w:rPr>
          <w:rFonts w:ascii="仿宋_GB2312" w:eastAsia="仿宋_GB2312" w:hint="eastAsia"/>
          <w:color w:val="000000" w:themeColor="text1"/>
          <w:sz w:val="32"/>
          <w:szCs w:val="32"/>
        </w:rPr>
        <w:t>号）文件精神，由</w:t>
      </w:r>
      <w:r w:rsidR="008B29D3" w:rsidRPr="008B29D3">
        <w:rPr>
          <w:rFonts w:ascii="仿宋_GB2312" w:eastAsia="仿宋_GB2312" w:hint="eastAsia"/>
          <w:color w:val="000000" w:themeColor="text1"/>
          <w:sz w:val="32"/>
          <w:szCs w:val="32"/>
        </w:rPr>
        <w:t>广西壮族自治区疾病预防控制局</w:t>
      </w:r>
      <w:r w:rsidRPr="00A82992">
        <w:rPr>
          <w:rFonts w:ascii="仿宋_GB2312" w:eastAsia="仿宋_GB2312" w:hint="eastAsia"/>
          <w:color w:val="000000" w:themeColor="text1"/>
          <w:sz w:val="32"/>
          <w:szCs w:val="32"/>
        </w:rPr>
        <w:t>提出，</w:t>
      </w:r>
      <w:r w:rsidR="000A42BB" w:rsidRPr="000A42BB">
        <w:rPr>
          <w:rFonts w:ascii="仿宋_GB2312" w:eastAsia="仿宋_GB2312" w:hint="eastAsia"/>
          <w:color w:val="000000" w:themeColor="text1"/>
          <w:sz w:val="32"/>
          <w:szCs w:val="32"/>
        </w:rPr>
        <w:t>南宁市市场监督管理信息中心、广西营养学会、广西标准化协会、广西渔业协会、广西烹饪餐饮行业协会鱼生专业委员会、广西壮族自治区水产科学研究院、广西职业技术学院、广西农业科学院农产品加工研究所、广西中医药大学、广西中医药研究院、南宁市水产畜牧兽医技术推广站、横州市职业技术学校、横州市综合检验检测中心、广西农垦明阳农场有限公司渔业养殖场分公司、广西桂之渔农业科技有限公司、南宁市金渔水产有限公司、桂林聚龙潭生态渔业有限公司、广西桂江京盛生态养殖有限公司、横县裕通水果种植家庭农场有限公司、南宁市横县鸿翔泉水鱼生态养殖有限公司、广西南宁福海水产养殖有限公司、广西中科渔业服务有限公司、广西有念花开餐饮管理有限公司、广西余师傅餐饮有限公司、横州安仔江鱼鱼生店、横州市峦城镇淳意酒店、横县景园春酒店、横州市横州国际大酒店有限责任公司、横州市南乡镇丰润山庄、横县六景镇善霖食府、横县余艺鱼生店、广西三个椰子餐饮管理有限公司、南宁市元泉环保科技有限公司、横州市众海水产品有限公司、南宁市经开区小海马食品批发中心、广西南宁渔之家水产服务有限公司、广西好渔顺商贸有限公司</w:t>
      </w:r>
      <w:r w:rsidR="008B29D3" w:rsidRPr="008B29D3">
        <w:rPr>
          <w:rFonts w:ascii="仿宋_GB2312" w:eastAsia="仿宋_GB2312" w:hint="eastAsia"/>
          <w:color w:val="000000" w:themeColor="text1"/>
          <w:sz w:val="32"/>
          <w:szCs w:val="32"/>
        </w:rPr>
        <w:t>等</w:t>
      </w:r>
      <w:r w:rsidRPr="00A82992">
        <w:rPr>
          <w:rFonts w:ascii="仿宋_GB2312" w:eastAsia="仿宋_GB2312" w:hint="eastAsia"/>
          <w:color w:val="000000" w:themeColor="text1"/>
          <w:sz w:val="32"/>
          <w:szCs w:val="32"/>
        </w:rPr>
        <w:t>单位共同起草的团体标准《</w:t>
      </w:r>
      <w:r w:rsidR="008B29D3" w:rsidRPr="008B29D3">
        <w:rPr>
          <w:rFonts w:ascii="仿宋_GB2312" w:eastAsia="仿宋_GB2312" w:hint="eastAsia"/>
          <w:color w:val="000000" w:themeColor="text1"/>
          <w:sz w:val="32"/>
          <w:szCs w:val="32"/>
        </w:rPr>
        <w:t>横县鱼生全链条管理规范  第5部分：供应链管理</w:t>
      </w:r>
      <w:r w:rsidRPr="00A82992">
        <w:rPr>
          <w:rFonts w:ascii="仿宋_GB2312" w:eastAsia="仿宋_GB2312" w:hint="eastAsia"/>
          <w:color w:val="000000" w:themeColor="text1"/>
          <w:sz w:val="32"/>
          <w:szCs w:val="32"/>
        </w:rPr>
        <w:t>》（项目</w:t>
      </w:r>
      <w:r w:rsidR="001363BD">
        <w:rPr>
          <w:rFonts w:ascii="仿宋_GB2312" w:eastAsia="仿宋_GB2312" w:hint="eastAsia"/>
          <w:color w:val="000000" w:themeColor="text1"/>
          <w:sz w:val="32"/>
          <w:szCs w:val="32"/>
        </w:rPr>
        <w:t>序</w:t>
      </w:r>
      <w:r w:rsidRPr="00A82992">
        <w:rPr>
          <w:rFonts w:ascii="仿宋_GB2312" w:eastAsia="仿宋_GB2312" w:hint="eastAsia"/>
          <w:color w:val="000000" w:themeColor="text1"/>
          <w:sz w:val="32"/>
          <w:szCs w:val="32"/>
        </w:rPr>
        <w:t>号：</w:t>
      </w:r>
      <w:r w:rsidR="001363BD">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）已获批立项。</w:t>
      </w:r>
    </w:p>
    <w:p w14:paraId="371ADAA1" w14:textId="77777777" w:rsidR="006B65C5" w:rsidRPr="00A82992" w:rsidRDefault="005F5D38">
      <w:pPr>
        <w:pStyle w:val="afe"/>
        <w:ind w:firstLineChars="200" w:firstLine="640"/>
        <w:jc w:val="left"/>
        <w:rPr>
          <w:rFonts w:ascii="黑体" w:eastAsia="黑体" w:hAnsi="黑体"/>
          <w:b w:val="0"/>
          <w:color w:val="000000" w:themeColor="text1"/>
        </w:rPr>
      </w:pPr>
      <w:r w:rsidRPr="00A82992">
        <w:rPr>
          <w:rFonts w:ascii="黑体" w:eastAsia="黑体" w:hAnsi="黑体" w:hint="eastAsia"/>
          <w:b w:val="0"/>
          <w:color w:val="000000" w:themeColor="text1"/>
        </w:rPr>
        <w:lastRenderedPageBreak/>
        <w:t>二、制定标准的必要性和意义</w:t>
      </w:r>
    </w:p>
    <w:p w14:paraId="4F64E5E3" w14:textId="4F5340CE" w:rsidR="003A587F" w:rsidRPr="003A587F" w:rsidRDefault="003A587F" w:rsidP="003A587F">
      <w:pPr>
        <w:spacing w:line="520" w:lineRule="exact"/>
        <w:ind w:firstLineChars="200" w:firstLine="640"/>
        <w:rPr>
          <w:rFonts w:ascii="仿宋_GB2312" w:eastAsiaTheme="minorEastAsia"/>
          <w:color w:val="000000" w:themeColor="text1"/>
          <w:sz w:val="32"/>
          <w:szCs w:val="32"/>
        </w:rPr>
      </w:pPr>
      <w:r w:rsidRPr="003A587F">
        <w:rPr>
          <w:rFonts w:ascii="仿宋_GB2312" w:eastAsia="仿宋_GB2312" w:hint="eastAsia"/>
          <w:color w:val="000000" w:themeColor="text1"/>
          <w:sz w:val="32"/>
          <w:szCs w:val="32"/>
        </w:rPr>
        <w:t>当前横县鱼生供应链因缺乏统一标准，各环节协同效率低下</w:t>
      </w:r>
      <w:r>
        <w:rPr>
          <w:rFonts w:ascii="仿宋_GB2312" w:eastAsia="仿宋_GB2312" w:hint="eastAsia"/>
          <w:color w:val="000000" w:themeColor="text1"/>
          <w:sz w:val="32"/>
          <w:szCs w:val="32"/>
        </w:rPr>
        <w:t>。</w:t>
      </w:r>
      <w:r w:rsidRPr="003A587F">
        <w:rPr>
          <w:rFonts w:ascii="仿宋_GB2312" w:eastAsia="仿宋_GB2312" w:hint="eastAsia"/>
          <w:color w:val="000000" w:themeColor="text1"/>
          <w:sz w:val="32"/>
          <w:szCs w:val="32"/>
        </w:rPr>
        <w:t>养殖捕捞环节供需错配问题突出，运输过程中因包装、保鲜不规范导致的原料损耗率高达</w:t>
      </w:r>
      <w:r w:rsidRPr="003A587F">
        <w:rPr>
          <w:rFonts w:ascii="仿宋_GB2312" w:eastAsia="仿宋_GB2312"/>
          <w:color w:val="000000" w:themeColor="text1"/>
          <w:sz w:val="32"/>
          <w:szCs w:val="32"/>
        </w:rPr>
        <w:t xml:space="preserve"> 10%-15%</w:t>
      </w:r>
      <w:r w:rsidRPr="003A587F">
        <w:rPr>
          <w:rFonts w:ascii="仿宋_GB2312" w:eastAsia="仿宋_GB2312" w:hint="eastAsia"/>
          <w:color w:val="000000" w:themeColor="text1"/>
          <w:sz w:val="32"/>
          <w:szCs w:val="32"/>
        </w:rPr>
        <w:t>，直接推高企业运营成本。通过制定标准对养殖捕捞、运输配送、仓储保鲜至销售终端的全流程进行优化，可显著提升各环节协同效率，降低综合成本，实现鱼生产品的稳定供应，进而增强横县鱼生在市场中的价格优势与份额竞争力，为产业规模化、现代化发展筑牢基础。</w:t>
      </w:r>
    </w:p>
    <w:p w14:paraId="6CD417D8" w14:textId="58345829" w:rsidR="003A587F" w:rsidRPr="003A587F" w:rsidRDefault="003A587F" w:rsidP="003A587F">
      <w:pPr>
        <w:spacing w:line="520" w:lineRule="exact"/>
        <w:ind w:firstLineChars="200" w:firstLine="640"/>
        <w:rPr>
          <w:rFonts w:ascii="仿宋_GB2312" w:eastAsiaTheme="minorEastAsia"/>
          <w:color w:val="000000" w:themeColor="text1"/>
          <w:sz w:val="32"/>
          <w:szCs w:val="32"/>
        </w:rPr>
      </w:pPr>
      <w:r w:rsidRPr="003A587F">
        <w:rPr>
          <w:rFonts w:ascii="仿宋_GB2312" w:eastAsia="仿宋_GB2312" w:hint="eastAsia"/>
          <w:color w:val="000000" w:themeColor="text1"/>
          <w:sz w:val="32"/>
          <w:szCs w:val="32"/>
        </w:rPr>
        <w:t>鱼生作为生食产品，安全风险贯穿供应链各环节</w:t>
      </w:r>
      <w:r>
        <w:rPr>
          <w:rFonts w:ascii="仿宋_GB2312" w:eastAsia="仿宋_GB2312" w:hint="eastAsia"/>
          <w:color w:val="000000" w:themeColor="text1"/>
          <w:sz w:val="32"/>
          <w:szCs w:val="32"/>
        </w:rPr>
        <w:t>。</w:t>
      </w:r>
      <w:r w:rsidRPr="003A587F">
        <w:rPr>
          <w:rFonts w:ascii="仿宋_GB2312" w:eastAsia="仿宋_GB2312" w:hint="eastAsia"/>
          <w:color w:val="000000" w:themeColor="text1"/>
          <w:sz w:val="32"/>
          <w:szCs w:val="32"/>
        </w:rPr>
        <w:t>养殖环节可能存在的药物残留、加工销售环节的卫生不达标及交叉污染等问题，直接威胁消费者健康。标准的制定将明确各环节质量安全责任，从源头规范养殖水质、饲料及药物使用，在运输仓储环节设定严格冷链控制标准，对加工销售场所卫生与操作流程细化要求，通过全链条风险管控降低安全隐患，重塑消费者信任，为产业可持续运营提供根本保障。</w:t>
      </w:r>
    </w:p>
    <w:p w14:paraId="1FA3A644" w14:textId="17C7FF3C" w:rsidR="003A587F" w:rsidRPr="003A587F" w:rsidRDefault="003A587F" w:rsidP="003A587F">
      <w:pPr>
        <w:spacing w:line="520" w:lineRule="exact"/>
        <w:ind w:firstLineChars="200" w:firstLine="640"/>
        <w:rPr>
          <w:rFonts w:ascii="仿宋_GB2312" w:eastAsiaTheme="minorEastAsia"/>
          <w:color w:val="000000" w:themeColor="text1"/>
          <w:sz w:val="32"/>
          <w:szCs w:val="32"/>
        </w:rPr>
      </w:pPr>
      <w:r w:rsidRPr="003A587F">
        <w:rPr>
          <w:rFonts w:ascii="仿宋_GB2312" w:eastAsia="仿宋_GB2312" w:hint="eastAsia"/>
          <w:color w:val="000000" w:themeColor="text1"/>
          <w:sz w:val="32"/>
          <w:szCs w:val="32"/>
        </w:rPr>
        <w:t>当前渔业资源面临过度捕捞、水域污染等挑战，而标准可引导资源合理利用</w:t>
      </w:r>
      <w:r>
        <w:rPr>
          <w:rFonts w:ascii="仿宋_GB2312" w:eastAsia="仿宋_GB2312" w:hint="eastAsia"/>
          <w:color w:val="000000" w:themeColor="text1"/>
          <w:sz w:val="32"/>
          <w:szCs w:val="32"/>
        </w:rPr>
        <w:t>。</w:t>
      </w:r>
      <w:r w:rsidRPr="003A587F">
        <w:rPr>
          <w:rFonts w:ascii="仿宋_GB2312" w:eastAsia="仿宋_GB2312" w:hint="eastAsia"/>
          <w:color w:val="000000" w:themeColor="text1"/>
          <w:sz w:val="32"/>
          <w:szCs w:val="32"/>
        </w:rPr>
        <w:t>养殖环节推广生态模式减少环境破坏，捕捞环节规范强度与方式保护再生能力；同时通过优化包装材料、运输路线等措施，降低供应链损耗与能耗，减少废弃物污染。这一系列举措实现了产业发展与生态保护的平衡，为渔业资源的长期存续和产业稳定增长奠定生态基础。</w:t>
      </w:r>
    </w:p>
    <w:p w14:paraId="44DFAE02" w14:textId="327EF64C" w:rsidR="006B65C5" w:rsidRPr="00A82992" w:rsidRDefault="003A587F" w:rsidP="003A587F">
      <w:pPr>
        <w:spacing w:line="520" w:lineRule="exact"/>
        <w:ind w:firstLineChars="200" w:firstLine="640"/>
        <w:rPr>
          <w:rFonts w:ascii="仿宋_GB2312" w:eastAsia="仿宋_GB2312"/>
          <w:color w:val="000000" w:themeColor="text1"/>
          <w:sz w:val="32"/>
          <w:szCs w:val="32"/>
        </w:rPr>
      </w:pPr>
      <w:r w:rsidRPr="003A587F">
        <w:rPr>
          <w:rFonts w:ascii="仿宋_GB2312" w:eastAsia="仿宋_GB2312" w:hint="eastAsia"/>
          <w:color w:val="000000" w:themeColor="text1"/>
          <w:sz w:val="32"/>
          <w:szCs w:val="32"/>
        </w:rPr>
        <w:t>横县鱼生作为广西非物质文化遗产，其文化价值的传播依赖于产品品质的稳定性。标准化供应链能确保不同季节、地区的消费者都能品尝到正宗风味，扩大文化传播范围；同时通过挖掘标准化流程中蕴含的选材智慧、工艺精髓等文化内涵，结合销售环节的宣传推广，深化消费者对鱼生文化的认知，使产业在承载文</w:t>
      </w:r>
      <w:r w:rsidRPr="003A587F">
        <w:rPr>
          <w:rFonts w:ascii="仿宋_GB2312" w:eastAsia="仿宋_GB2312" w:hint="eastAsia"/>
          <w:color w:val="000000" w:themeColor="text1"/>
          <w:sz w:val="32"/>
          <w:szCs w:val="32"/>
        </w:rPr>
        <w:lastRenderedPageBreak/>
        <w:t>化价值的过程中进一步提升品牌影响力，形成</w:t>
      </w:r>
      <w:r w:rsidR="00BA0C59">
        <w:rPr>
          <w:rFonts w:ascii="仿宋_GB2312" w:eastAsia="仿宋_GB2312" w:hint="eastAsia"/>
          <w:color w:val="000000" w:themeColor="text1"/>
          <w:sz w:val="32"/>
          <w:szCs w:val="32"/>
        </w:rPr>
        <w:t>“</w:t>
      </w:r>
      <w:r w:rsidR="00BA0C59" w:rsidRPr="003A587F">
        <w:rPr>
          <w:rFonts w:ascii="仿宋_GB2312" w:eastAsia="仿宋_GB2312" w:hint="eastAsia"/>
          <w:color w:val="000000" w:themeColor="text1"/>
          <w:sz w:val="32"/>
          <w:szCs w:val="32"/>
        </w:rPr>
        <w:t>产业发展</w:t>
      </w:r>
      <w:r w:rsidR="00BA0C59" w:rsidRPr="003A587F">
        <w:rPr>
          <w:rFonts w:ascii="仿宋_GB2312" w:eastAsia="仿宋_GB2312"/>
          <w:color w:val="000000" w:themeColor="text1"/>
          <w:sz w:val="32"/>
          <w:szCs w:val="32"/>
        </w:rPr>
        <w:t>—</w:t>
      </w:r>
      <w:r w:rsidR="00BA0C59">
        <w:rPr>
          <w:rFonts w:ascii="仿宋_GB2312" w:eastAsia="仿宋_GB2312" w:hint="eastAsia"/>
          <w:color w:val="000000" w:themeColor="text1"/>
          <w:sz w:val="32"/>
          <w:szCs w:val="32"/>
        </w:rPr>
        <w:t>文化传</w:t>
      </w:r>
      <w:r w:rsidR="00BA0C59" w:rsidRPr="003A587F">
        <w:rPr>
          <w:rFonts w:ascii="仿宋_GB2312" w:eastAsia="仿宋_GB2312"/>
          <w:color w:val="000000" w:themeColor="text1"/>
          <w:sz w:val="32"/>
          <w:szCs w:val="32"/>
        </w:rPr>
        <w:t xml:space="preserve"> </w:t>
      </w:r>
      <w:r w:rsidR="00BA0C59" w:rsidRPr="003A587F">
        <w:rPr>
          <w:rFonts w:ascii="仿宋_GB2312" w:eastAsia="仿宋_GB2312"/>
          <w:color w:val="000000" w:themeColor="text1"/>
          <w:sz w:val="32"/>
          <w:szCs w:val="32"/>
        </w:rPr>
        <w:t>—</w:t>
      </w:r>
      <w:r w:rsidR="00BA0C59" w:rsidRPr="003A587F">
        <w:rPr>
          <w:rFonts w:ascii="仿宋_GB2312" w:eastAsia="仿宋_GB2312" w:hint="eastAsia"/>
          <w:color w:val="000000" w:themeColor="text1"/>
          <w:sz w:val="32"/>
          <w:szCs w:val="32"/>
        </w:rPr>
        <w:t>价值升级</w:t>
      </w:r>
      <w:r w:rsidR="00BA0C59">
        <w:rPr>
          <w:rFonts w:ascii="仿宋_GB2312" w:eastAsia="仿宋_GB2312" w:hint="eastAsia"/>
          <w:color w:val="000000" w:themeColor="text1"/>
          <w:sz w:val="32"/>
          <w:szCs w:val="32"/>
        </w:rPr>
        <w:t>”</w:t>
      </w:r>
      <w:r w:rsidRPr="003A587F">
        <w:rPr>
          <w:rFonts w:ascii="仿宋_GB2312" w:eastAsia="仿宋_GB2312" w:hint="eastAsia"/>
          <w:color w:val="000000" w:themeColor="text1"/>
          <w:sz w:val="32"/>
          <w:szCs w:val="32"/>
        </w:rPr>
        <w:t>的良性循环。</w:t>
      </w:r>
    </w:p>
    <w:p w14:paraId="54234E41" w14:textId="7DAF6782"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通过制定团体标准《</w:t>
      </w:r>
      <w:r w:rsidR="005A39CB">
        <w:rPr>
          <w:rFonts w:ascii="仿宋_GB2312" w:eastAsia="仿宋_GB2312" w:hint="eastAsia"/>
          <w:color w:val="000000" w:themeColor="text1"/>
          <w:sz w:val="32"/>
          <w:szCs w:val="32"/>
        </w:rPr>
        <w:t>横县鱼生全链条管理规范  第5部分：供应链管</w:t>
      </w:r>
      <w:r w:rsidR="005A39CB" w:rsidRPr="00BA0C59">
        <w:rPr>
          <w:rFonts w:ascii="仿宋_GB2312" w:eastAsia="仿宋_GB2312" w:hint="eastAsia"/>
          <w:color w:val="000000" w:themeColor="text1"/>
          <w:sz w:val="32"/>
          <w:szCs w:val="32"/>
        </w:rPr>
        <w:t>理</w:t>
      </w:r>
      <w:r w:rsidRPr="00BA0C59">
        <w:rPr>
          <w:rFonts w:ascii="仿宋_GB2312" w:eastAsia="仿宋_GB2312" w:hint="eastAsia"/>
          <w:color w:val="000000" w:themeColor="text1"/>
          <w:sz w:val="32"/>
          <w:szCs w:val="32"/>
        </w:rPr>
        <w:t>》，以标准为抓手，统一规范</w:t>
      </w:r>
      <w:r w:rsidR="000940F9" w:rsidRPr="000940F9">
        <w:rPr>
          <w:rFonts w:ascii="仿宋_GB2312" w:eastAsia="仿宋_GB2312" w:hint="eastAsia"/>
          <w:color w:val="000000" w:themeColor="text1"/>
          <w:sz w:val="32"/>
          <w:szCs w:val="32"/>
        </w:rPr>
        <w:t>横县鱼生全链条</w:t>
      </w:r>
      <w:r w:rsidR="000940F9">
        <w:rPr>
          <w:rFonts w:ascii="仿宋_GB2312" w:eastAsia="仿宋_GB2312" w:hint="eastAsia"/>
          <w:color w:val="000000" w:themeColor="text1"/>
          <w:sz w:val="32"/>
          <w:szCs w:val="32"/>
        </w:rPr>
        <w:t>供应链</w:t>
      </w:r>
      <w:r w:rsidR="000940F9">
        <w:rPr>
          <w:rFonts w:ascii="仿宋_GB2312" w:eastAsia="仿宋_GB2312"/>
          <w:color w:val="000000" w:themeColor="text1"/>
          <w:sz w:val="32"/>
          <w:szCs w:val="32"/>
        </w:rPr>
        <w:t>管理要求，</w:t>
      </w:r>
      <w:r w:rsidR="000940F9">
        <w:rPr>
          <w:rFonts w:ascii="仿宋_GB2312" w:eastAsia="仿宋_GB2312" w:hint="eastAsia"/>
          <w:color w:val="000000" w:themeColor="text1"/>
          <w:sz w:val="32"/>
          <w:szCs w:val="32"/>
        </w:rPr>
        <w:t>对</w:t>
      </w:r>
      <w:r w:rsidR="000940F9" w:rsidRPr="000940F9">
        <w:rPr>
          <w:rFonts w:ascii="仿宋_GB2312" w:eastAsia="仿宋_GB2312" w:hint="eastAsia"/>
          <w:color w:val="000000" w:themeColor="text1"/>
          <w:sz w:val="32"/>
          <w:szCs w:val="32"/>
        </w:rPr>
        <w:t>提高横县鱼生供应链各环节的运作效率与协同性，从源头保障食材供应的稳定性与质量，促进形成规模化、集约化的</w:t>
      </w:r>
      <w:r w:rsidR="000940F9">
        <w:rPr>
          <w:rFonts w:ascii="仿宋_GB2312" w:eastAsia="仿宋_GB2312" w:hint="eastAsia"/>
          <w:color w:val="000000" w:themeColor="text1"/>
          <w:sz w:val="32"/>
          <w:szCs w:val="32"/>
        </w:rPr>
        <w:t>横县鱼生</w:t>
      </w:r>
      <w:r w:rsidR="000940F9" w:rsidRPr="000940F9">
        <w:rPr>
          <w:rFonts w:ascii="仿宋_GB2312" w:eastAsia="仿宋_GB2312" w:hint="eastAsia"/>
          <w:color w:val="000000" w:themeColor="text1"/>
          <w:sz w:val="32"/>
          <w:szCs w:val="32"/>
        </w:rPr>
        <w:t>产业格局</w:t>
      </w:r>
      <w:r w:rsidR="000940F9">
        <w:rPr>
          <w:rFonts w:ascii="仿宋_GB2312" w:eastAsia="仿宋_GB2312" w:hint="eastAsia"/>
          <w:color w:val="000000" w:themeColor="text1"/>
          <w:sz w:val="32"/>
          <w:szCs w:val="32"/>
        </w:rPr>
        <w:t>，</w:t>
      </w:r>
      <w:r w:rsidR="00BA0C59" w:rsidRPr="00BA0C59">
        <w:rPr>
          <w:rFonts w:ascii="仿宋_GB2312" w:eastAsia="仿宋_GB2312" w:hint="eastAsia"/>
          <w:color w:val="000000" w:themeColor="text1"/>
          <w:sz w:val="32"/>
          <w:szCs w:val="32"/>
        </w:rPr>
        <w:t>推动</w:t>
      </w:r>
      <w:r w:rsidR="00BA0C59" w:rsidRPr="00BA0C59">
        <w:rPr>
          <w:rFonts w:ascii="仿宋_GB2312" w:eastAsia="仿宋_GB2312"/>
          <w:color w:val="000000" w:themeColor="text1"/>
          <w:sz w:val="32"/>
          <w:szCs w:val="32"/>
        </w:rPr>
        <w:t>横县鱼生产业高质量发展具有重要意义</w:t>
      </w:r>
      <w:r w:rsidRPr="00BA0C59">
        <w:rPr>
          <w:rFonts w:ascii="仿宋_GB2312" w:eastAsia="仿宋_GB2312" w:hint="eastAsia"/>
          <w:color w:val="000000" w:themeColor="text1"/>
          <w:sz w:val="32"/>
          <w:szCs w:val="32"/>
        </w:rPr>
        <w:t>。</w:t>
      </w:r>
    </w:p>
    <w:p w14:paraId="697DF10C" w14:textId="77777777" w:rsidR="006B65C5" w:rsidRPr="00A82992" w:rsidRDefault="005F5D38">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三、主要起草过程</w:t>
      </w:r>
    </w:p>
    <w:p w14:paraId="1F95469B" w14:textId="77777777" w:rsidR="006B65C5" w:rsidRPr="00A82992" w:rsidRDefault="005F5D38">
      <w:pPr>
        <w:spacing w:line="560" w:lineRule="exact"/>
        <w:ind w:firstLineChars="200" w:firstLine="643"/>
        <w:rPr>
          <w:rFonts w:ascii="楷体" w:eastAsia="楷体" w:hAnsi="楷体" w:cs="楷体"/>
          <w:b/>
          <w:color w:val="000000" w:themeColor="text1"/>
          <w:sz w:val="32"/>
          <w:szCs w:val="32"/>
        </w:rPr>
      </w:pPr>
      <w:r w:rsidRPr="00A82992">
        <w:rPr>
          <w:rFonts w:ascii="楷体" w:eastAsia="楷体" w:hAnsi="楷体" w:cs="楷体" w:hint="eastAsia"/>
          <w:b/>
          <w:color w:val="000000" w:themeColor="text1"/>
          <w:sz w:val="32"/>
          <w:szCs w:val="32"/>
        </w:rPr>
        <w:t>（一）成立标准编制工作组</w:t>
      </w:r>
    </w:p>
    <w:p w14:paraId="3CC27BB4" w14:textId="708D83D6" w:rsidR="006B65C5" w:rsidRPr="00A82992" w:rsidRDefault="005F5D38">
      <w:pPr>
        <w:spacing w:line="520" w:lineRule="exact"/>
        <w:ind w:firstLineChars="200" w:firstLine="640"/>
        <w:jc w:val="left"/>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团体标准《</w:t>
      </w:r>
      <w:r w:rsidR="005A39CB">
        <w:rPr>
          <w:rFonts w:ascii="仿宋_GB2312" w:eastAsia="仿宋_GB2312" w:hint="eastAsia"/>
          <w:color w:val="000000" w:themeColor="text1"/>
          <w:sz w:val="32"/>
          <w:szCs w:val="32"/>
        </w:rPr>
        <w:t>横县鱼生全链条管理规范  第5部分：供应链管理</w:t>
      </w:r>
      <w:r w:rsidRPr="00A82992">
        <w:rPr>
          <w:rFonts w:ascii="仿宋_GB2312" w:eastAsia="仿宋_GB2312" w:hint="eastAsia"/>
          <w:color w:val="000000" w:themeColor="text1"/>
          <w:sz w:val="32"/>
          <w:szCs w:val="32"/>
        </w:rPr>
        <w:t>》项目任务下达后，</w:t>
      </w:r>
      <w:r w:rsidR="009A6EA6" w:rsidRPr="009A6EA6">
        <w:rPr>
          <w:rFonts w:ascii="仿宋_GB2312" w:eastAsia="仿宋_GB2312" w:hint="eastAsia"/>
          <w:color w:val="000000" w:themeColor="text1"/>
          <w:sz w:val="32"/>
          <w:szCs w:val="32"/>
        </w:rPr>
        <w:t>南宁市市场监督管理信息中心、广西营养学会、横县安仔鱼生店、广西渔老表餐饮有限公司、横州市鸿翔泉水鱼生态养殖有限公司、广西桂之渔农业科技有限公司、南宁市金渔水产有限公司</w:t>
      </w:r>
      <w:r w:rsidRPr="00A82992">
        <w:rPr>
          <w:rFonts w:ascii="仿宋_GB2312" w:eastAsia="仿宋_GB2312" w:hint="eastAsia"/>
          <w:color w:val="000000" w:themeColor="text1"/>
          <w:sz w:val="32"/>
          <w:szCs w:val="32"/>
        </w:rPr>
        <w:t>等单位成立了标准编制工作组，制定了起草编写方案与进度安排，明确任务职责，确定工作技术路线，开展标准研制工作。具体标准编制工作由起草单位相关人员配合完成。</w:t>
      </w:r>
    </w:p>
    <w:p w14:paraId="0C10889A" w14:textId="77777777" w:rsidR="006B65C5" w:rsidRPr="00A82992" w:rsidRDefault="005F5D38">
      <w:pPr>
        <w:spacing w:line="520" w:lineRule="exact"/>
        <w:ind w:firstLineChars="200" w:firstLine="640"/>
        <w:jc w:val="left"/>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为了明确标准编制的任务职责，确定工作技术路线，开展标准研制工作。编制工作组下设三个组，分别是资料收集组、草案编写组、标准实施组。</w:t>
      </w:r>
    </w:p>
    <w:p w14:paraId="7155381C" w14:textId="3A60F07C"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资料收集组负责国内外有关</w:t>
      </w:r>
      <w:r w:rsidR="009A6EA6" w:rsidRPr="007C7536">
        <w:rPr>
          <w:rFonts w:ascii="仿宋_GB2312" w:eastAsia="仿宋_GB2312" w:hint="eastAsia"/>
          <w:color w:val="000000" w:themeColor="text1"/>
          <w:sz w:val="32"/>
          <w:szCs w:val="32"/>
        </w:rPr>
        <w:t>横县鱼生全链条供应链管理</w:t>
      </w:r>
      <w:r w:rsidRPr="007C7536">
        <w:rPr>
          <w:rFonts w:ascii="仿宋_GB2312" w:eastAsia="仿宋_GB2312" w:hint="eastAsia"/>
          <w:color w:val="000000" w:themeColor="text1"/>
          <w:sz w:val="32"/>
          <w:szCs w:val="32"/>
        </w:rPr>
        <w:t>相</w:t>
      </w:r>
      <w:r w:rsidRPr="00A82992">
        <w:rPr>
          <w:rFonts w:ascii="仿宋_GB2312" w:eastAsia="仿宋_GB2312" w:hint="eastAsia"/>
          <w:color w:val="000000" w:themeColor="text1"/>
          <w:sz w:val="32"/>
          <w:szCs w:val="32"/>
        </w:rPr>
        <w:t>关文献资料的查询、收集和整理工作，查阅前期对</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的有关研究情况和目前医学界对</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的研究进展。</w:t>
      </w:r>
    </w:p>
    <w:p w14:paraId="6D5684E7"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草案编写组负责起草标准草案及后续征求意见稿和标准编制说明、送审稿及编制说明等编写工作，包括后期召开征求意见</w:t>
      </w:r>
      <w:r w:rsidRPr="00A82992">
        <w:rPr>
          <w:rFonts w:ascii="仿宋_GB2312" w:eastAsia="仿宋_GB2312" w:hint="eastAsia"/>
          <w:color w:val="000000" w:themeColor="text1"/>
          <w:sz w:val="32"/>
          <w:szCs w:val="32"/>
        </w:rPr>
        <w:lastRenderedPageBreak/>
        <w:t>会、网上征求意见，以及标准的不断修改和完善。</w:t>
      </w:r>
    </w:p>
    <w:p w14:paraId="2B358024" w14:textId="33E5FCAC" w:rsidR="006B65C5" w:rsidRPr="00A82992" w:rsidRDefault="005F5D38">
      <w:pPr>
        <w:spacing w:line="520" w:lineRule="exact"/>
        <w:ind w:firstLineChars="200" w:firstLine="640"/>
        <w:jc w:val="left"/>
        <w:rPr>
          <w:rFonts w:ascii="仿宋_GB2312" w:eastAsia="仿宋_GB2312" w:cs="仿宋_GB2312"/>
          <w:color w:val="000000" w:themeColor="text1"/>
          <w:sz w:val="28"/>
          <w:szCs w:val="28"/>
        </w:rPr>
      </w:pPr>
      <w:r w:rsidRPr="00A82992">
        <w:rPr>
          <w:rFonts w:ascii="仿宋_GB2312" w:eastAsia="仿宋_GB2312" w:hint="eastAsia"/>
          <w:color w:val="000000" w:themeColor="text1"/>
          <w:sz w:val="32"/>
          <w:szCs w:val="32"/>
        </w:rPr>
        <w:t>标准实施组负责团体标准《</w:t>
      </w:r>
      <w:r w:rsidR="005A39CB">
        <w:rPr>
          <w:rFonts w:ascii="仿宋_GB2312" w:eastAsia="仿宋_GB2312" w:hint="eastAsia"/>
          <w:color w:val="000000" w:themeColor="text1"/>
          <w:sz w:val="32"/>
          <w:szCs w:val="32"/>
        </w:rPr>
        <w:t>横县鱼生全链条管理规范  第5部分：供应链管理</w:t>
      </w:r>
      <w:r w:rsidRPr="00A82992">
        <w:rPr>
          <w:rFonts w:ascii="仿宋_GB2312" w:eastAsia="仿宋_GB2312" w:hint="eastAsia"/>
          <w:color w:val="000000" w:themeColor="text1"/>
          <w:sz w:val="32"/>
          <w:szCs w:val="32"/>
        </w:rPr>
        <w:t>》发布后，组织相关</w:t>
      </w:r>
      <w:r w:rsidR="009A6EA6">
        <w:rPr>
          <w:rFonts w:ascii="仿宋_GB2312" w:eastAsia="仿宋_GB2312" w:hint="eastAsia"/>
          <w:color w:val="000000" w:themeColor="text1"/>
          <w:sz w:val="32"/>
          <w:szCs w:val="32"/>
        </w:rPr>
        <w:t>鱼生专用</w:t>
      </w:r>
      <w:r w:rsidR="009A6EA6">
        <w:rPr>
          <w:rFonts w:ascii="仿宋_GB2312" w:eastAsia="仿宋_GB2312"/>
          <w:color w:val="000000" w:themeColor="text1"/>
          <w:sz w:val="32"/>
          <w:szCs w:val="32"/>
        </w:rPr>
        <w:t>鱼</w:t>
      </w:r>
      <w:r w:rsidR="009A6EA6">
        <w:rPr>
          <w:rFonts w:ascii="仿宋_GB2312" w:eastAsia="仿宋_GB2312" w:hint="eastAsia"/>
          <w:color w:val="000000" w:themeColor="text1"/>
          <w:sz w:val="32"/>
          <w:szCs w:val="32"/>
        </w:rPr>
        <w:t>养殖基地</w:t>
      </w:r>
      <w:r w:rsidRPr="00A82992">
        <w:rPr>
          <w:rFonts w:ascii="仿宋_GB2312" w:eastAsia="仿宋_GB2312" w:hint="eastAsia"/>
          <w:color w:val="000000" w:themeColor="text1"/>
          <w:sz w:val="32"/>
          <w:szCs w:val="32"/>
        </w:rPr>
        <w:t>、</w:t>
      </w:r>
      <w:r w:rsidR="009A6EA6">
        <w:rPr>
          <w:rFonts w:ascii="仿宋_GB2312" w:eastAsia="仿宋_GB2312" w:hint="eastAsia"/>
          <w:color w:val="000000" w:themeColor="text1"/>
          <w:sz w:val="32"/>
          <w:szCs w:val="32"/>
        </w:rPr>
        <w:t>下游企业</w:t>
      </w:r>
      <w:r w:rsidR="009A6EA6">
        <w:rPr>
          <w:rFonts w:ascii="仿宋_GB2312" w:eastAsia="仿宋_GB2312"/>
          <w:color w:val="000000" w:themeColor="text1"/>
          <w:sz w:val="32"/>
          <w:szCs w:val="32"/>
        </w:rPr>
        <w:t>、</w:t>
      </w:r>
      <w:r w:rsidR="009A6EA6">
        <w:rPr>
          <w:rFonts w:ascii="仿宋_GB2312" w:eastAsia="仿宋_GB2312" w:hint="eastAsia"/>
          <w:color w:val="000000" w:themeColor="text1"/>
          <w:sz w:val="32"/>
          <w:szCs w:val="32"/>
        </w:rPr>
        <w:t>餐饮店以及各</w:t>
      </w:r>
      <w:r w:rsidR="009A6EA6">
        <w:rPr>
          <w:rFonts w:ascii="仿宋_GB2312" w:eastAsia="仿宋_GB2312"/>
          <w:color w:val="000000" w:themeColor="text1"/>
          <w:sz w:val="32"/>
          <w:szCs w:val="32"/>
        </w:rPr>
        <w:t>企</w:t>
      </w:r>
      <w:r w:rsidRPr="00A82992">
        <w:rPr>
          <w:rFonts w:ascii="仿宋_GB2312" w:eastAsia="仿宋_GB2312" w:hint="eastAsia"/>
          <w:color w:val="000000" w:themeColor="text1"/>
          <w:sz w:val="32"/>
          <w:szCs w:val="32"/>
        </w:rPr>
        <w:t>事业单位</w:t>
      </w:r>
      <w:r w:rsidR="009A6EA6">
        <w:rPr>
          <w:rFonts w:ascii="仿宋_GB2312" w:eastAsia="仿宋_GB2312" w:hint="eastAsia"/>
          <w:color w:val="000000" w:themeColor="text1"/>
          <w:sz w:val="32"/>
          <w:szCs w:val="32"/>
        </w:rPr>
        <w:t>、</w:t>
      </w:r>
      <w:r w:rsidR="009A6EA6">
        <w:rPr>
          <w:rFonts w:ascii="仿宋_GB2312" w:eastAsia="仿宋_GB2312"/>
          <w:color w:val="000000" w:themeColor="text1"/>
          <w:sz w:val="32"/>
          <w:szCs w:val="32"/>
        </w:rPr>
        <w:t>高校、科研机构</w:t>
      </w:r>
      <w:r w:rsidRPr="00A82992">
        <w:rPr>
          <w:rFonts w:ascii="仿宋_GB2312" w:eastAsia="仿宋_GB2312" w:hint="eastAsia"/>
          <w:color w:val="000000" w:themeColor="text1"/>
          <w:sz w:val="32"/>
          <w:szCs w:val="32"/>
        </w:rPr>
        <w:t>开展标准宣贯培训会，对标准进行详细解读，让相关人员了解标准，并根据标准对</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进行规范化操作，并对标准实施情况进行总结分析，不断对标准提出修正意见。</w:t>
      </w:r>
    </w:p>
    <w:p w14:paraId="3E81A00C" w14:textId="77777777" w:rsidR="006B65C5" w:rsidRPr="00A82992" w:rsidRDefault="005F5D38">
      <w:pPr>
        <w:spacing w:line="560" w:lineRule="exact"/>
        <w:ind w:firstLineChars="200" w:firstLine="643"/>
        <w:rPr>
          <w:rFonts w:ascii="楷体" w:eastAsia="楷体" w:hAnsi="楷体" w:cs="楷体"/>
          <w:b/>
          <w:color w:val="000000" w:themeColor="text1"/>
          <w:sz w:val="32"/>
          <w:szCs w:val="32"/>
        </w:rPr>
      </w:pPr>
      <w:r w:rsidRPr="00A82992">
        <w:rPr>
          <w:rFonts w:ascii="楷体" w:eastAsia="楷体" w:hAnsi="楷体" w:cs="楷体" w:hint="eastAsia"/>
          <w:b/>
          <w:color w:val="000000" w:themeColor="text1"/>
          <w:sz w:val="32"/>
          <w:szCs w:val="32"/>
        </w:rPr>
        <w:t>（二）收集整理文献资料</w:t>
      </w:r>
    </w:p>
    <w:p w14:paraId="0DE5C454" w14:textId="0AB3EC8D" w:rsidR="006B65C5" w:rsidRPr="00564B7F"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标准编制工作组收集了国内有</w:t>
      </w:r>
      <w:r w:rsidRPr="00C41385">
        <w:rPr>
          <w:rFonts w:ascii="仿宋_GB2312" w:eastAsia="仿宋_GB2312" w:hint="eastAsia"/>
          <w:color w:val="000000" w:themeColor="text1"/>
          <w:sz w:val="32"/>
          <w:szCs w:val="32"/>
        </w:rPr>
        <w:t>关“</w:t>
      </w:r>
      <w:r w:rsidR="00943854" w:rsidRPr="00C41385">
        <w:rPr>
          <w:rFonts w:ascii="仿宋_GB2312" w:eastAsia="仿宋_GB2312" w:hint="eastAsia"/>
          <w:color w:val="000000" w:themeColor="text1"/>
          <w:sz w:val="32"/>
          <w:szCs w:val="32"/>
        </w:rPr>
        <w:t>鱼生</w:t>
      </w:r>
      <w:r w:rsidRPr="00564B7F">
        <w:rPr>
          <w:rFonts w:ascii="仿宋_GB2312" w:eastAsia="仿宋_GB2312" w:hint="eastAsia"/>
          <w:color w:val="000000" w:themeColor="text1"/>
          <w:sz w:val="32"/>
          <w:szCs w:val="32"/>
        </w:rPr>
        <w:t>”“</w:t>
      </w:r>
      <w:r w:rsidR="00943854" w:rsidRPr="00564B7F">
        <w:rPr>
          <w:rFonts w:ascii="仿宋_GB2312" w:eastAsia="仿宋_GB2312" w:hint="eastAsia"/>
          <w:color w:val="000000" w:themeColor="text1"/>
          <w:sz w:val="32"/>
          <w:szCs w:val="32"/>
        </w:rPr>
        <w:t>供应链管理</w:t>
      </w:r>
      <w:r w:rsidRPr="00564B7F">
        <w:rPr>
          <w:rFonts w:ascii="仿宋_GB2312" w:eastAsia="仿宋_GB2312" w:hint="eastAsia"/>
          <w:color w:val="000000" w:themeColor="text1"/>
          <w:sz w:val="32"/>
          <w:szCs w:val="32"/>
        </w:rPr>
        <w:t>”的相关文献资料。主要有：</w:t>
      </w:r>
    </w:p>
    <w:p w14:paraId="3386A647" w14:textId="22FED227" w:rsidR="00943854" w:rsidRPr="00564B7F" w:rsidRDefault="00943854">
      <w:pPr>
        <w:spacing w:line="520" w:lineRule="exact"/>
        <w:ind w:firstLineChars="200" w:firstLine="640"/>
        <w:rPr>
          <w:rFonts w:ascii="仿宋_GB2312" w:eastAsia="仿宋_GB2312"/>
          <w:color w:val="000000" w:themeColor="text1"/>
          <w:sz w:val="32"/>
          <w:szCs w:val="32"/>
        </w:rPr>
      </w:pPr>
      <w:r w:rsidRPr="00564B7F">
        <w:rPr>
          <w:rFonts w:ascii="仿宋_GB2312" w:eastAsia="仿宋_GB2312" w:hint="eastAsia"/>
          <w:color w:val="000000" w:themeColor="text1"/>
          <w:sz w:val="32"/>
          <w:szCs w:val="32"/>
        </w:rPr>
        <w:t>T</w:t>
      </w:r>
      <w:r w:rsidRPr="00564B7F">
        <w:rPr>
          <w:rFonts w:ascii="仿宋_GB2312" w:eastAsia="仿宋_GB2312"/>
          <w:color w:val="000000" w:themeColor="text1"/>
          <w:sz w:val="32"/>
          <w:szCs w:val="32"/>
        </w:rPr>
        <w:t>/</w:t>
      </w:r>
      <w:r w:rsidRPr="00564B7F">
        <w:rPr>
          <w:rFonts w:ascii="仿宋_GB2312" w:eastAsia="仿宋_GB2312" w:hint="eastAsia"/>
          <w:color w:val="000000" w:themeColor="text1"/>
          <w:sz w:val="32"/>
          <w:szCs w:val="32"/>
        </w:rPr>
        <w:t>SDRA37.2-2024</w:t>
      </w:r>
      <w:r w:rsidRPr="00564B7F">
        <w:rPr>
          <w:rFonts w:ascii="仿宋_GB2312" w:eastAsia="仿宋_GB2312"/>
          <w:color w:val="000000" w:themeColor="text1"/>
          <w:sz w:val="32"/>
          <w:szCs w:val="32"/>
        </w:rPr>
        <w:t xml:space="preserve">  </w:t>
      </w:r>
      <w:r w:rsidRPr="00564B7F">
        <w:rPr>
          <w:rFonts w:ascii="仿宋_GB2312" w:eastAsia="仿宋_GB2312" w:hint="eastAsia"/>
          <w:color w:val="000000" w:themeColor="text1"/>
          <w:sz w:val="32"/>
          <w:szCs w:val="32"/>
        </w:rPr>
        <w:t>顺德鱼生全链条管理规范 第2部分：供应链管理</w:t>
      </w:r>
    </w:p>
    <w:p w14:paraId="24D0F1AB" w14:textId="3D50381A" w:rsidR="00943854" w:rsidRPr="00564B7F" w:rsidRDefault="00943854">
      <w:pPr>
        <w:spacing w:line="520" w:lineRule="exact"/>
        <w:ind w:firstLineChars="200" w:firstLine="640"/>
        <w:rPr>
          <w:rFonts w:ascii="仿宋_GB2312" w:eastAsia="仿宋_GB2312"/>
          <w:color w:val="000000" w:themeColor="text1"/>
          <w:sz w:val="32"/>
          <w:szCs w:val="32"/>
        </w:rPr>
      </w:pPr>
      <w:r w:rsidRPr="00564B7F">
        <w:rPr>
          <w:rFonts w:ascii="仿宋_GB2312" w:eastAsia="仿宋_GB2312"/>
          <w:color w:val="000000" w:themeColor="text1"/>
          <w:sz w:val="32"/>
          <w:szCs w:val="32"/>
        </w:rPr>
        <w:t xml:space="preserve">T/GXAS 1081-2025  </w:t>
      </w:r>
      <w:r w:rsidRPr="00564B7F">
        <w:rPr>
          <w:rFonts w:ascii="仿宋_GB2312" w:eastAsia="仿宋_GB2312" w:hint="eastAsia"/>
          <w:color w:val="000000" w:themeColor="text1"/>
          <w:sz w:val="32"/>
          <w:szCs w:val="32"/>
        </w:rPr>
        <w:t>横县鱼生制作技术规程</w:t>
      </w:r>
    </w:p>
    <w:p w14:paraId="64687446" w14:textId="35B7B9B9" w:rsidR="00C41385" w:rsidRPr="00C41385" w:rsidRDefault="00C41385">
      <w:pPr>
        <w:spacing w:line="520" w:lineRule="exact"/>
        <w:ind w:firstLineChars="200" w:firstLine="640"/>
        <w:rPr>
          <w:rFonts w:ascii="仿宋_GB2312" w:eastAsia="仿宋_GB2312"/>
          <w:color w:val="000000" w:themeColor="text1"/>
          <w:sz w:val="32"/>
          <w:szCs w:val="32"/>
        </w:rPr>
      </w:pPr>
      <w:r w:rsidRPr="00564B7F">
        <w:rPr>
          <w:rFonts w:ascii="仿宋_GB2312" w:eastAsia="仿宋_GB2312"/>
          <w:color w:val="000000" w:themeColor="text1"/>
          <w:sz w:val="32"/>
          <w:szCs w:val="32"/>
        </w:rPr>
        <w:t>GB/T 40040-2021</w:t>
      </w:r>
      <w:r w:rsidRPr="00564B7F">
        <w:rPr>
          <w:rFonts w:ascii="仿宋_GB2312" w:eastAsia="仿宋_GB2312" w:hint="eastAsia"/>
          <w:color w:val="000000" w:themeColor="text1"/>
          <w:sz w:val="32"/>
          <w:szCs w:val="32"/>
        </w:rPr>
        <w:t>餐饮业供应链管理指南</w:t>
      </w:r>
    </w:p>
    <w:p w14:paraId="219DACB5" w14:textId="77777777" w:rsidR="006B65C5" w:rsidRPr="00A82992" w:rsidRDefault="005F5D38">
      <w:pPr>
        <w:spacing w:line="560" w:lineRule="exact"/>
        <w:ind w:firstLineChars="200" w:firstLine="643"/>
        <w:rPr>
          <w:rFonts w:ascii="楷体" w:eastAsia="楷体" w:hAnsi="楷体" w:cs="楷体"/>
          <w:b/>
          <w:color w:val="000000" w:themeColor="text1"/>
          <w:sz w:val="32"/>
          <w:szCs w:val="32"/>
        </w:rPr>
      </w:pPr>
      <w:r w:rsidRPr="00A82992">
        <w:rPr>
          <w:rFonts w:ascii="楷体" w:eastAsia="楷体" w:hAnsi="楷体" w:cs="楷体" w:hint="eastAsia"/>
          <w:b/>
          <w:color w:val="000000" w:themeColor="text1"/>
          <w:sz w:val="32"/>
          <w:szCs w:val="32"/>
        </w:rPr>
        <w:t>（三）研讨确定标准特色</w:t>
      </w:r>
      <w:r w:rsidRPr="00A82992">
        <w:rPr>
          <w:rFonts w:ascii="楷体" w:eastAsia="楷体" w:hAnsi="楷体" w:cs="楷体"/>
          <w:b/>
          <w:color w:val="000000" w:themeColor="text1"/>
          <w:sz w:val="32"/>
          <w:szCs w:val="32"/>
        </w:rPr>
        <w:t>、</w:t>
      </w:r>
      <w:r w:rsidRPr="00A82992">
        <w:rPr>
          <w:rFonts w:ascii="楷体" w:eastAsia="楷体" w:hAnsi="楷体" w:cs="楷体" w:hint="eastAsia"/>
          <w:b/>
          <w:color w:val="000000" w:themeColor="text1"/>
          <w:sz w:val="32"/>
          <w:szCs w:val="32"/>
        </w:rPr>
        <w:t>创新点和主体内容</w:t>
      </w:r>
    </w:p>
    <w:p w14:paraId="38F74F01" w14:textId="77777777" w:rsidR="006B65C5" w:rsidRPr="00A82992" w:rsidRDefault="005F5D38">
      <w:pPr>
        <w:pStyle w:val="affa"/>
        <w:rPr>
          <w:rFonts w:ascii="仿宋_GB2312" w:eastAsia="仿宋_GB2312"/>
          <w:color w:val="000000" w:themeColor="text1"/>
        </w:rPr>
      </w:pPr>
      <w:r w:rsidRPr="00A82992">
        <w:rPr>
          <w:rFonts w:ascii="仿宋_GB2312" w:eastAsia="仿宋_GB2312" w:hint="eastAsia"/>
          <w:color w:val="000000" w:themeColor="text1"/>
        </w:rPr>
        <w:t>标准编制工作组在对收集的资料进行整理研究之后，标准编制工作组召开了标准编制会议，对标准的整体框架结构进行了研究，并对标准的关键性内容进行了初步探讨。经过研究，标准特色、创新点和主体内容如下</w:t>
      </w:r>
      <w:r w:rsidRPr="00A82992">
        <w:rPr>
          <w:rFonts w:ascii="仿宋_GB2312" w:eastAsia="仿宋_GB2312"/>
          <w:color w:val="000000" w:themeColor="text1"/>
        </w:rPr>
        <w:t>：</w:t>
      </w:r>
    </w:p>
    <w:p w14:paraId="029EBC7F" w14:textId="77777777" w:rsidR="006B65C5" w:rsidRPr="00A82992" w:rsidRDefault="005F5D38">
      <w:pPr>
        <w:pStyle w:val="affa"/>
        <w:rPr>
          <w:rFonts w:ascii="仿宋_GB2312" w:eastAsia="仿宋_GB2312"/>
          <w:color w:val="000000" w:themeColor="text1"/>
        </w:rPr>
      </w:pPr>
      <w:r w:rsidRPr="00A82992">
        <w:rPr>
          <w:rFonts w:ascii="仿宋_GB2312" w:eastAsia="仿宋_GB2312"/>
          <w:color w:val="000000" w:themeColor="text1"/>
        </w:rPr>
        <w:t>1.</w:t>
      </w:r>
      <w:r w:rsidRPr="00A82992">
        <w:rPr>
          <w:rFonts w:ascii="仿宋_GB2312" w:eastAsia="仿宋_GB2312" w:hint="eastAsia"/>
          <w:color w:val="000000" w:themeColor="text1"/>
        </w:rPr>
        <w:t>特色</w:t>
      </w:r>
    </w:p>
    <w:p w14:paraId="1EB21387" w14:textId="5F888F60" w:rsidR="006B65C5" w:rsidRPr="00A82992" w:rsidRDefault="00A6390C">
      <w:pPr>
        <w:pStyle w:val="affa"/>
        <w:rPr>
          <w:rFonts w:ascii="仿宋_GB2312" w:eastAsia="仿宋_GB2312"/>
          <w:color w:val="000000" w:themeColor="text1"/>
        </w:rPr>
      </w:pPr>
      <w:r w:rsidRPr="00A6390C">
        <w:rPr>
          <w:rFonts w:ascii="仿宋_GB2312" w:eastAsia="仿宋_GB2312" w:hint="eastAsia"/>
          <w:color w:val="000000" w:themeColor="text1"/>
        </w:rPr>
        <w:t>标准以横县鱼生供应链为核心，覆盖从原料采购、养殖记录、运输物流、加工制作、仓储管理到餐饮端进货查验、追溯召回的全流程，形成完整管理闭环。在养殖环节要求记录投苗、投料、水质监测等关键信息，运输环节明确温控与路径优化，仓储环节强调智能库存管理，餐饮端严格</w:t>
      </w:r>
      <w:r>
        <w:rPr>
          <w:rFonts w:ascii="仿宋_GB2312" w:eastAsia="仿宋_GB2312" w:hint="eastAsia"/>
          <w:color w:val="000000" w:themeColor="text1"/>
        </w:rPr>
        <w:t>进货查验，每个环节均有对应管理要求，确保供应链各节点无管控空白</w:t>
      </w:r>
      <w:r w:rsidR="005F5D38" w:rsidRPr="00A82992">
        <w:rPr>
          <w:rFonts w:ascii="仿宋_GB2312" w:eastAsia="仿宋_GB2312" w:hint="eastAsia"/>
          <w:color w:val="000000" w:themeColor="text1"/>
        </w:rPr>
        <w:t>。</w:t>
      </w:r>
    </w:p>
    <w:p w14:paraId="30A3EF26" w14:textId="77777777" w:rsidR="006B65C5" w:rsidRPr="00A82992" w:rsidRDefault="005F5D38">
      <w:pPr>
        <w:pStyle w:val="affa"/>
        <w:rPr>
          <w:rFonts w:ascii="仿宋_GB2312" w:eastAsia="仿宋_GB2312"/>
          <w:color w:val="000000" w:themeColor="text1"/>
        </w:rPr>
      </w:pPr>
      <w:r w:rsidRPr="00A82992">
        <w:rPr>
          <w:rFonts w:ascii="仿宋_GB2312" w:eastAsia="仿宋_GB2312" w:hint="eastAsia"/>
          <w:color w:val="000000" w:themeColor="text1"/>
        </w:rPr>
        <w:lastRenderedPageBreak/>
        <w:t>2.创新点</w:t>
      </w:r>
    </w:p>
    <w:p w14:paraId="1C1A4BC4" w14:textId="16BCA83F" w:rsidR="006B65C5" w:rsidRDefault="00A6390C">
      <w:pPr>
        <w:pStyle w:val="affa"/>
        <w:rPr>
          <w:rFonts w:ascii="仿宋_GB2312" w:eastAsia="仿宋_GB2312"/>
          <w:color w:val="000000" w:themeColor="text1"/>
        </w:rPr>
      </w:pPr>
      <w:r w:rsidRPr="00A6390C">
        <w:rPr>
          <w:rFonts w:ascii="仿宋_GB2312" w:eastAsia="仿宋_GB2312" w:hint="eastAsia"/>
          <w:color w:val="000000" w:themeColor="text1"/>
        </w:rPr>
        <w:t>首次将区块链技术与物联网设备结合应用于横县鱼生供应链追溯，采用区块链记录原料来源、加工时间、物流节点等不可篡改信息，同时搭配北斗 + GPS 双模定位、分布式光纤温度传感器、RFID 阅读器等设备，实现 “数据可追溯、过程可监控、异常可预警”</w:t>
      </w:r>
      <w:r w:rsidR="005F5D38" w:rsidRPr="00A82992">
        <w:rPr>
          <w:rFonts w:ascii="仿宋_GB2312" w:eastAsia="仿宋_GB2312" w:hint="eastAsia"/>
          <w:color w:val="000000" w:themeColor="text1"/>
        </w:rPr>
        <w:t>。</w:t>
      </w:r>
    </w:p>
    <w:p w14:paraId="5E8F472F" w14:textId="3A6BC0D0" w:rsidR="00A6390C" w:rsidRPr="00A82992" w:rsidRDefault="00A6390C">
      <w:pPr>
        <w:pStyle w:val="affa"/>
        <w:rPr>
          <w:rFonts w:ascii="仿宋_GB2312" w:eastAsia="仿宋_GB2312" w:hint="eastAsia"/>
          <w:color w:val="000000" w:themeColor="text1"/>
        </w:rPr>
      </w:pPr>
      <w:r w:rsidRPr="00A6390C">
        <w:rPr>
          <w:rFonts w:ascii="仿宋_GB2312" w:eastAsia="仿宋_GB2312" w:hint="eastAsia"/>
          <w:color w:val="000000" w:themeColor="text1"/>
        </w:rPr>
        <w:t>创新追溯码载体与内容设计，支持 EAN/UPC、GS1-128、GS1 二维码等多种载体，且追溯码涵盖养殖单位信息、品种与养殖记录、运输参数、加工视频、检验报告等全维度内容，远超传统追溯码的信息容量，消费者扫码即可获取 “从鱼塘到餐桌” 的完整数据，提升信息透明度。</w:t>
      </w:r>
    </w:p>
    <w:p w14:paraId="37D95234" w14:textId="77777777" w:rsidR="006B65C5" w:rsidRPr="00A82992" w:rsidRDefault="005F5D38">
      <w:pPr>
        <w:pStyle w:val="affa"/>
        <w:rPr>
          <w:rFonts w:ascii="仿宋_GB2312" w:eastAsia="仿宋_GB2312"/>
          <w:color w:val="000000" w:themeColor="text1"/>
        </w:rPr>
      </w:pPr>
      <w:r w:rsidRPr="00A82992">
        <w:rPr>
          <w:rFonts w:ascii="仿宋_GB2312" w:eastAsia="仿宋_GB2312"/>
          <w:color w:val="000000" w:themeColor="text1"/>
        </w:rPr>
        <w:t>3</w:t>
      </w:r>
      <w:r w:rsidRPr="00A82992">
        <w:rPr>
          <w:rFonts w:ascii="仿宋_GB2312" w:eastAsia="仿宋_GB2312" w:hint="eastAsia"/>
          <w:color w:val="000000" w:themeColor="text1"/>
        </w:rPr>
        <w:t>.主体内容</w:t>
      </w:r>
    </w:p>
    <w:p w14:paraId="273370FB" w14:textId="5E73B325" w:rsidR="006B65C5" w:rsidRPr="00A82992" w:rsidRDefault="005F5D38">
      <w:pPr>
        <w:pStyle w:val="affa"/>
        <w:rPr>
          <w:rFonts w:ascii="仿宋_GB2312" w:eastAsia="仿宋_GB2312"/>
          <w:color w:val="000000" w:themeColor="text1"/>
        </w:rPr>
      </w:pPr>
      <w:r w:rsidRPr="00A82992">
        <w:rPr>
          <w:rFonts w:ascii="仿宋_GB2312" w:eastAsia="仿宋_GB2312" w:hAnsi="Calibri" w:hint="eastAsia"/>
          <w:color w:val="000000" w:themeColor="text1"/>
        </w:rPr>
        <w:t>团体标准《</w:t>
      </w:r>
      <w:r w:rsidR="005A39CB">
        <w:rPr>
          <w:rFonts w:ascii="仿宋_GB2312" w:eastAsia="仿宋_GB2312" w:hAnsi="Calibri" w:hint="eastAsia"/>
          <w:color w:val="000000" w:themeColor="text1"/>
        </w:rPr>
        <w:t>横县鱼生全链条管理规范  第5部分：供应链管理</w:t>
      </w:r>
      <w:r w:rsidRPr="00A82992">
        <w:rPr>
          <w:rFonts w:ascii="仿宋_GB2312" w:eastAsia="仿宋_GB2312" w:hAnsi="Calibri" w:hint="eastAsia"/>
          <w:color w:val="000000" w:themeColor="text1"/>
        </w:rPr>
        <w:t>》主要内容包括</w:t>
      </w:r>
      <w:r w:rsidR="00E96666" w:rsidRPr="00E96666">
        <w:rPr>
          <w:rFonts w:ascii="仿宋_GB2312" w:eastAsia="仿宋_GB2312" w:hAnsi="Calibri" w:hint="eastAsia"/>
          <w:color w:val="000000" w:themeColor="text1"/>
        </w:rPr>
        <w:t>可信溯源系统、全过程记录、溯源编码与标识、产品合格证明、运输与物流、进货查验、仓储、追溯与召回</w:t>
      </w:r>
      <w:r w:rsidRPr="00A82992">
        <w:rPr>
          <w:rFonts w:ascii="仿宋_GB2312" w:eastAsia="仿宋_GB2312" w:hAnsi="Calibri" w:hint="eastAsia"/>
          <w:color w:val="000000" w:themeColor="text1"/>
        </w:rPr>
        <w:t>等内容。</w:t>
      </w:r>
    </w:p>
    <w:p w14:paraId="7B8209B9" w14:textId="77777777" w:rsidR="006B65C5" w:rsidRPr="00A82992" w:rsidRDefault="005F5D38">
      <w:pPr>
        <w:spacing w:line="560" w:lineRule="exact"/>
        <w:ind w:firstLineChars="200" w:firstLine="643"/>
        <w:rPr>
          <w:rFonts w:ascii="楷体" w:eastAsia="楷体" w:hAnsi="楷体" w:cs="楷体"/>
          <w:b/>
          <w:color w:val="000000" w:themeColor="text1"/>
          <w:sz w:val="32"/>
          <w:szCs w:val="32"/>
        </w:rPr>
      </w:pPr>
      <w:r w:rsidRPr="00A11355">
        <w:rPr>
          <w:rFonts w:ascii="楷体" w:eastAsia="楷体" w:hAnsi="楷体" w:cs="楷体" w:hint="eastAsia"/>
          <w:b/>
          <w:color w:val="000000" w:themeColor="text1"/>
          <w:sz w:val="32"/>
          <w:szCs w:val="32"/>
        </w:rPr>
        <w:t>（四）立项、调研及形成草案、征求意见稿</w:t>
      </w:r>
    </w:p>
    <w:p w14:paraId="46BBF56B" w14:textId="61114B24"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202</w:t>
      </w:r>
      <w:r w:rsidRPr="00A82992">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年</w:t>
      </w:r>
      <w:r w:rsidR="00C41385">
        <w:rPr>
          <w:rFonts w:ascii="仿宋_GB2312" w:eastAsia="仿宋_GB2312"/>
          <w:color w:val="000000" w:themeColor="text1"/>
          <w:sz w:val="32"/>
          <w:szCs w:val="32"/>
        </w:rPr>
        <w:t>4</w:t>
      </w:r>
      <w:r w:rsidRPr="00A82992">
        <w:rPr>
          <w:rFonts w:ascii="仿宋_GB2312" w:eastAsia="仿宋_GB2312" w:hint="eastAsia"/>
          <w:color w:val="000000" w:themeColor="text1"/>
          <w:sz w:val="32"/>
          <w:szCs w:val="32"/>
        </w:rPr>
        <w:t>月，标准编制工作组查阅了大量的国内文献资料，经编制组反复讨</w:t>
      </w:r>
      <w:r w:rsidRPr="00564B7F">
        <w:rPr>
          <w:rFonts w:ascii="仿宋_GB2312" w:eastAsia="仿宋_GB2312" w:hint="eastAsia"/>
          <w:color w:val="000000" w:themeColor="text1"/>
          <w:sz w:val="32"/>
          <w:szCs w:val="32"/>
        </w:rPr>
        <w:t>论，对</w:t>
      </w:r>
      <w:r w:rsidR="009A6EA6" w:rsidRPr="00564B7F">
        <w:rPr>
          <w:rFonts w:ascii="仿宋_GB2312" w:eastAsia="仿宋_GB2312" w:hint="eastAsia"/>
          <w:color w:val="000000" w:themeColor="text1"/>
          <w:sz w:val="32"/>
          <w:szCs w:val="32"/>
        </w:rPr>
        <w:t>横县鱼生全链条供应链管理</w:t>
      </w:r>
      <w:r w:rsidRPr="00564B7F">
        <w:rPr>
          <w:rFonts w:ascii="仿宋_GB2312" w:eastAsia="仿宋_GB2312" w:hint="eastAsia"/>
          <w:color w:val="000000" w:themeColor="text1"/>
          <w:sz w:val="32"/>
          <w:szCs w:val="32"/>
        </w:rPr>
        <w:t>的实</w:t>
      </w:r>
      <w:r w:rsidRPr="00A82992">
        <w:rPr>
          <w:rFonts w:ascii="仿宋_GB2312" w:eastAsia="仿宋_GB2312" w:hint="eastAsia"/>
          <w:color w:val="000000" w:themeColor="text1"/>
          <w:sz w:val="32"/>
          <w:szCs w:val="32"/>
        </w:rPr>
        <w:t>践情况进行系统总结，形成了标准的基本构架，对主要内容进行了讨论并对项目的工作进行了部署和安排。</w:t>
      </w:r>
    </w:p>
    <w:p w14:paraId="33C2E369" w14:textId="3328EB88"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202</w:t>
      </w:r>
      <w:r w:rsidRPr="00A82992">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年</w:t>
      </w:r>
      <w:r w:rsidR="00C41385">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月～</w:t>
      </w:r>
      <w:r w:rsidR="00C41385">
        <w:rPr>
          <w:rFonts w:ascii="仿宋_GB2312" w:eastAsia="仿宋_GB2312"/>
          <w:color w:val="000000" w:themeColor="text1"/>
          <w:sz w:val="32"/>
          <w:szCs w:val="32"/>
        </w:rPr>
        <w:t>6</w:t>
      </w:r>
      <w:r w:rsidRPr="00A82992">
        <w:rPr>
          <w:rFonts w:ascii="仿宋_GB2312" w:eastAsia="仿宋_GB2312" w:hint="eastAsia"/>
          <w:color w:val="000000" w:themeColor="text1"/>
          <w:sz w:val="32"/>
          <w:szCs w:val="32"/>
        </w:rPr>
        <w:t>月，在前期工作的基础之上，通过理清逻辑脉络，整合已有参考资料中有关</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的要求，并在目前</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实际操作的基础上，按照简化、统一等原则编制完成团体标准《</w:t>
      </w:r>
      <w:r w:rsidR="005A39CB">
        <w:rPr>
          <w:rFonts w:ascii="仿宋_GB2312" w:eastAsia="仿宋_GB2312" w:hint="eastAsia"/>
          <w:color w:val="000000" w:themeColor="text1"/>
          <w:sz w:val="32"/>
          <w:szCs w:val="32"/>
        </w:rPr>
        <w:t>横县鱼生全链条管理规范  第5部分：供应链管理</w:t>
      </w:r>
      <w:r w:rsidRPr="00A82992">
        <w:rPr>
          <w:rFonts w:ascii="仿宋_GB2312" w:eastAsia="仿宋_GB2312" w:hint="eastAsia"/>
          <w:color w:val="000000" w:themeColor="text1"/>
          <w:sz w:val="32"/>
          <w:szCs w:val="32"/>
        </w:rPr>
        <w:t>》（草案）。</w:t>
      </w:r>
    </w:p>
    <w:p w14:paraId="4208392B" w14:textId="70D40D12" w:rsidR="00883A1D"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lastRenderedPageBreak/>
        <w:t>202</w:t>
      </w:r>
      <w:r w:rsidRPr="00A82992">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年</w:t>
      </w:r>
      <w:r w:rsidR="00C41385">
        <w:rPr>
          <w:rFonts w:ascii="仿宋_GB2312" w:eastAsia="仿宋_GB2312"/>
          <w:color w:val="000000" w:themeColor="text1"/>
          <w:sz w:val="32"/>
          <w:szCs w:val="32"/>
        </w:rPr>
        <w:t>7</w:t>
      </w:r>
      <w:r w:rsidRPr="00A82992">
        <w:rPr>
          <w:rFonts w:ascii="仿宋_GB2312" w:eastAsia="仿宋_GB2312" w:hint="eastAsia"/>
          <w:color w:val="000000" w:themeColor="text1"/>
          <w:sz w:val="32"/>
          <w:szCs w:val="32"/>
        </w:rPr>
        <w:t>月～</w:t>
      </w:r>
      <w:r w:rsidR="00C41385">
        <w:rPr>
          <w:rFonts w:ascii="仿宋_GB2312" w:eastAsia="仿宋_GB2312"/>
          <w:color w:val="000000" w:themeColor="text1"/>
          <w:sz w:val="32"/>
          <w:szCs w:val="32"/>
        </w:rPr>
        <w:t>8</w:t>
      </w:r>
      <w:r w:rsidRPr="00A82992">
        <w:rPr>
          <w:rFonts w:ascii="仿宋_GB2312" w:eastAsia="仿宋_GB2312" w:hint="eastAsia"/>
          <w:color w:val="000000" w:themeColor="text1"/>
          <w:sz w:val="32"/>
          <w:szCs w:val="32"/>
        </w:rPr>
        <w:t>月，</w:t>
      </w:r>
      <w:r w:rsidR="00883A1D" w:rsidRPr="00883A1D">
        <w:rPr>
          <w:rFonts w:ascii="仿宋_GB2312" w:eastAsia="仿宋_GB2312" w:hint="eastAsia"/>
          <w:color w:val="000000" w:themeColor="text1"/>
          <w:sz w:val="32"/>
          <w:szCs w:val="32"/>
        </w:rPr>
        <w:t>标准起草工作组到</w:t>
      </w:r>
      <w:r w:rsidR="00883A1D">
        <w:rPr>
          <w:rFonts w:ascii="仿宋_GB2312" w:eastAsia="仿宋_GB2312" w:hint="eastAsia"/>
          <w:color w:val="000000" w:themeColor="text1"/>
          <w:sz w:val="32"/>
          <w:szCs w:val="32"/>
        </w:rPr>
        <w:t>广西</w:t>
      </w:r>
      <w:r w:rsidR="00883A1D">
        <w:rPr>
          <w:rFonts w:ascii="仿宋_GB2312" w:eastAsia="仿宋_GB2312"/>
          <w:color w:val="000000" w:themeColor="text1"/>
          <w:sz w:val="32"/>
          <w:szCs w:val="32"/>
        </w:rPr>
        <w:t>标准</w:t>
      </w:r>
      <w:r w:rsidR="00883A1D">
        <w:rPr>
          <w:rFonts w:ascii="仿宋_GB2312" w:eastAsia="仿宋_GB2312" w:hint="eastAsia"/>
          <w:color w:val="000000" w:themeColor="text1"/>
          <w:sz w:val="32"/>
          <w:szCs w:val="32"/>
        </w:rPr>
        <w:t>化</w:t>
      </w:r>
      <w:r w:rsidR="00883A1D">
        <w:rPr>
          <w:rFonts w:ascii="仿宋_GB2312" w:eastAsia="仿宋_GB2312"/>
          <w:color w:val="000000" w:themeColor="text1"/>
          <w:sz w:val="32"/>
          <w:szCs w:val="32"/>
        </w:rPr>
        <w:t>协</w:t>
      </w:r>
      <w:r w:rsidR="00883A1D" w:rsidRPr="001F1AA9">
        <w:rPr>
          <w:rFonts w:ascii="仿宋_GB2312" w:eastAsia="仿宋_GB2312"/>
          <w:color w:val="000000" w:themeColor="text1"/>
          <w:sz w:val="32"/>
          <w:szCs w:val="32"/>
        </w:rPr>
        <w:t>会</w:t>
      </w:r>
      <w:r w:rsidR="00883A1D" w:rsidRPr="001F1AA9">
        <w:rPr>
          <w:rFonts w:ascii="仿宋_GB2312" w:eastAsia="仿宋_GB2312" w:hint="eastAsia"/>
          <w:color w:val="000000" w:themeColor="text1"/>
          <w:sz w:val="32"/>
          <w:szCs w:val="32"/>
        </w:rPr>
        <w:t>、南宁市金渔水产有限公司、广西桂之渔农业科技有限公司等单</w:t>
      </w:r>
      <w:r w:rsidR="00883A1D" w:rsidRPr="00883A1D">
        <w:rPr>
          <w:rFonts w:ascii="仿宋_GB2312" w:eastAsia="仿宋_GB2312" w:hint="eastAsia"/>
          <w:color w:val="000000" w:themeColor="text1"/>
          <w:sz w:val="32"/>
          <w:szCs w:val="32"/>
        </w:rPr>
        <w:t>位</w:t>
      </w:r>
      <w:r w:rsidR="00883A1D">
        <w:rPr>
          <w:rFonts w:ascii="仿宋_GB2312" w:eastAsia="仿宋_GB2312" w:hint="eastAsia"/>
          <w:color w:val="000000" w:themeColor="text1"/>
          <w:sz w:val="32"/>
          <w:szCs w:val="32"/>
        </w:rPr>
        <w:t>、水产</w:t>
      </w:r>
      <w:r w:rsidR="00883A1D">
        <w:rPr>
          <w:rFonts w:ascii="仿宋_GB2312" w:eastAsia="仿宋_GB2312"/>
          <w:color w:val="000000" w:themeColor="text1"/>
          <w:sz w:val="32"/>
          <w:szCs w:val="32"/>
        </w:rPr>
        <w:t>养殖</w:t>
      </w:r>
      <w:r w:rsidR="00883A1D">
        <w:rPr>
          <w:rFonts w:ascii="仿宋_GB2312" w:eastAsia="仿宋_GB2312" w:hint="eastAsia"/>
          <w:color w:val="000000" w:themeColor="text1"/>
          <w:sz w:val="32"/>
          <w:szCs w:val="32"/>
        </w:rPr>
        <w:t>企业</w:t>
      </w:r>
      <w:r w:rsidR="00883A1D" w:rsidRPr="00883A1D">
        <w:rPr>
          <w:rFonts w:ascii="仿宋_GB2312" w:eastAsia="仿宋_GB2312" w:hint="eastAsia"/>
          <w:color w:val="000000" w:themeColor="text1"/>
          <w:sz w:val="32"/>
          <w:szCs w:val="32"/>
        </w:rPr>
        <w:t>开展研讨会，通过座谈交流、实地调研等方式掌握各单位或企业对横县鱼生全链条供应链管理的具体技术要求（见图1）。通过召开研讨会或征求意见的方式收集各方修改意见，对标准草案进行了反复修改和研究讨论，形成了团体标准《横县鱼生全链条管理规范  第5部分：供应链管理》（征求意见稿）和（征求意见稿）编制说明。</w:t>
      </w:r>
    </w:p>
    <w:tbl>
      <w:tblPr>
        <w:tblStyle w:val="aff2"/>
        <w:tblW w:w="0" w:type="auto"/>
        <w:tblBorders>
          <w:top w:val="none" w:sz="0" w:space="0" w:color="auto"/>
          <w:bottom w:val="none" w:sz="0" w:space="0" w:color="auto"/>
        </w:tblBorders>
        <w:tblLook w:val="04A0" w:firstRow="1" w:lastRow="0" w:firstColumn="1" w:lastColumn="0" w:noHBand="0" w:noVBand="1"/>
      </w:tblPr>
      <w:tblGrid>
        <w:gridCol w:w="4359"/>
        <w:gridCol w:w="4386"/>
        <w:gridCol w:w="429"/>
      </w:tblGrid>
      <w:tr w:rsidR="00D1006C" w14:paraId="5E6DAC36" w14:textId="77777777" w:rsidTr="00D1006C">
        <w:trPr>
          <w:gridAfter w:val="1"/>
          <w:wAfter w:w="429" w:type="dxa"/>
        </w:trPr>
        <w:tc>
          <w:tcPr>
            <w:tcW w:w="4359" w:type="dxa"/>
          </w:tcPr>
          <w:p w14:paraId="10EBBF66" w14:textId="56ECA170" w:rsidR="00D1006C" w:rsidRDefault="00D1006C" w:rsidP="00D1006C">
            <w:pPr>
              <w:rPr>
                <w:rFonts w:ascii="仿宋_GB2312" w:eastAsia="仿宋_GB2312"/>
                <w:color w:val="000000" w:themeColor="text1"/>
                <w:sz w:val="32"/>
                <w:szCs w:val="32"/>
              </w:rPr>
            </w:pPr>
            <w:r>
              <w:rPr>
                <w:rFonts w:ascii="仿宋_GB2312" w:eastAsia="仿宋_GB2312"/>
                <w:noProof/>
                <w:color w:val="000000" w:themeColor="text1"/>
                <w:sz w:val="32"/>
                <w:szCs w:val="32"/>
              </w:rPr>
              <w:drawing>
                <wp:inline distT="0" distB="0" distL="0" distR="0" wp14:anchorId="74CA206A" wp14:editId="5E4F728B">
                  <wp:extent cx="2631431" cy="14795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鱼生调研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71878" cy="1502292"/>
                          </a:xfrm>
                          <a:prstGeom prst="rect">
                            <a:avLst/>
                          </a:prstGeom>
                        </pic:spPr>
                      </pic:pic>
                    </a:graphicData>
                  </a:graphic>
                </wp:inline>
              </w:drawing>
            </w:r>
          </w:p>
        </w:tc>
        <w:tc>
          <w:tcPr>
            <w:tcW w:w="4386" w:type="dxa"/>
          </w:tcPr>
          <w:p w14:paraId="3F1A563D" w14:textId="7F157859" w:rsidR="00D1006C" w:rsidRDefault="00D1006C" w:rsidP="00D1006C">
            <w:pPr>
              <w:rPr>
                <w:rFonts w:ascii="仿宋_GB2312" w:eastAsia="仿宋_GB2312"/>
                <w:color w:val="000000" w:themeColor="text1"/>
                <w:sz w:val="32"/>
                <w:szCs w:val="32"/>
              </w:rPr>
            </w:pPr>
            <w:r>
              <w:rPr>
                <w:rFonts w:ascii="仿宋_GB2312" w:eastAsia="仿宋_GB2312"/>
                <w:noProof/>
                <w:color w:val="000000" w:themeColor="text1"/>
                <w:sz w:val="32"/>
                <w:szCs w:val="32"/>
              </w:rPr>
              <w:drawing>
                <wp:inline distT="0" distB="0" distL="0" distR="0" wp14:anchorId="02371328" wp14:editId="449149C8">
                  <wp:extent cx="2646680" cy="1487908"/>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鱼生调研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46680" cy="1487908"/>
                          </a:xfrm>
                          <a:prstGeom prst="rect">
                            <a:avLst/>
                          </a:prstGeom>
                        </pic:spPr>
                      </pic:pic>
                    </a:graphicData>
                  </a:graphic>
                </wp:inline>
              </w:drawing>
            </w:r>
          </w:p>
        </w:tc>
      </w:tr>
      <w:tr w:rsidR="00D1006C" w14:paraId="631BB6B7" w14:textId="77777777" w:rsidTr="00D1006C">
        <w:trPr>
          <w:gridAfter w:val="1"/>
          <w:wAfter w:w="429" w:type="dxa"/>
        </w:trPr>
        <w:tc>
          <w:tcPr>
            <w:tcW w:w="8745" w:type="dxa"/>
            <w:gridSpan w:val="2"/>
            <w:vAlign w:val="center"/>
          </w:tcPr>
          <w:p w14:paraId="738C295C" w14:textId="6717DA6A" w:rsidR="00D1006C" w:rsidRDefault="00D1006C" w:rsidP="00D1006C">
            <w:pPr>
              <w:jc w:val="center"/>
              <w:rPr>
                <w:rFonts w:ascii="仿宋_GB2312" w:eastAsia="仿宋_GB2312"/>
                <w:noProof/>
                <w:color w:val="000000" w:themeColor="text1"/>
                <w:sz w:val="32"/>
                <w:szCs w:val="32"/>
              </w:rPr>
            </w:pPr>
            <w:r>
              <w:rPr>
                <w:rFonts w:ascii="仿宋_GB2312" w:eastAsia="仿宋_GB2312"/>
                <w:noProof/>
                <w:color w:val="000000" w:themeColor="text1"/>
                <w:sz w:val="32"/>
                <w:szCs w:val="32"/>
              </w:rPr>
              <w:drawing>
                <wp:inline distT="0" distB="0" distL="0" distR="0" wp14:anchorId="09EF7A5F" wp14:editId="43363360">
                  <wp:extent cx="2672080" cy="1502187"/>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鱼生调研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2080" cy="1502187"/>
                          </a:xfrm>
                          <a:prstGeom prst="rect">
                            <a:avLst/>
                          </a:prstGeom>
                        </pic:spPr>
                      </pic:pic>
                    </a:graphicData>
                  </a:graphic>
                </wp:inline>
              </w:drawing>
            </w:r>
          </w:p>
        </w:tc>
      </w:tr>
      <w:tr w:rsidR="00A82992" w:rsidRPr="00A82992" w14:paraId="11F351A5" w14:textId="77777777">
        <w:tc>
          <w:tcPr>
            <w:tcW w:w="9174" w:type="dxa"/>
            <w:gridSpan w:val="3"/>
          </w:tcPr>
          <w:p w14:paraId="7C1A2466" w14:textId="77777777" w:rsidR="006B65C5" w:rsidRPr="00A82992" w:rsidRDefault="005F5D38">
            <w:pPr>
              <w:spacing w:line="520" w:lineRule="exact"/>
              <w:jc w:val="center"/>
              <w:rPr>
                <w:rFonts w:ascii="仿宋_GB2312" w:eastAsia="仿宋_GB2312"/>
                <w:color w:val="000000" w:themeColor="text1"/>
              </w:rPr>
            </w:pPr>
            <w:r w:rsidRPr="00A82992">
              <w:rPr>
                <w:rFonts w:ascii="仿宋_GB2312" w:eastAsia="仿宋_GB2312" w:hint="eastAsia"/>
                <w:color w:val="000000" w:themeColor="text1"/>
                <w:szCs w:val="32"/>
              </w:rPr>
              <w:t>图1  起草编制组开展项目研讨会</w:t>
            </w:r>
          </w:p>
        </w:tc>
      </w:tr>
    </w:tbl>
    <w:p w14:paraId="3E8FF2B2" w14:textId="77777777" w:rsidR="006B65C5" w:rsidRPr="00A82992" w:rsidRDefault="005F5D38">
      <w:pPr>
        <w:autoSpaceDE w:val="0"/>
        <w:autoSpaceDN w:val="0"/>
        <w:adjustRightInd w:val="0"/>
        <w:spacing w:beforeLines="50" w:before="120" w:afterLines="50" w:after="120"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四、制定标准的原则和依据，与现行法律、法规的关系，与有关国家标准、行业标准的协调情况</w:t>
      </w:r>
    </w:p>
    <w:p w14:paraId="335E62A4"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（一）编制原则</w:t>
      </w:r>
    </w:p>
    <w:p w14:paraId="46FB0E76" w14:textId="77777777" w:rsidR="006B65C5" w:rsidRPr="00A82992" w:rsidRDefault="005F5D38">
      <w:pPr>
        <w:spacing w:line="560" w:lineRule="exact"/>
        <w:ind w:firstLineChars="200" w:firstLine="643"/>
        <w:rPr>
          <w:rFonts w:ascii="仿宋_GB2312" w:eastAsia="仿宋_GB2312" w:hAnsi="楷体" w:cs="Times New Roman"/>
          <w:b/>
          <w:color w:val="000000" w:themeColor="text1"/>
          <w:sz w:val="32"/>
          <w:szCs w:val="32"/>
        </w:rPr>
      </w:pPr>
      <w:r w:rsidRPr="00A82992">
        <w:rPr>
          <w:rFonts w:ascii="仿宋_GB2312" w:eastAsia="仿宋_GB2312" w:hAnsi="楷体" w:cs="Times New Roman" w:hint="eastAsia"/>
          <w:b/>
          <w:color w:val="000000" w:themeColor="text1"/>
          <w:sz w:val="32"/>
          <w:szCs w:val="32"/>
        </w:rPr>
        <w:t>1、实用性原则</w:t>
      </w:r>
    </w:p>
    <w:p w14:paraId="28669963" w14:textId="6382BC4C"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本标准是在充分收集国内外相关资料和文献、调研分析</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现状，结合起草单位前期研究工作取得的研究成果及积累的实践经验，并借鉴国内</w:t>
      </w:r>
      <w:r w:rsidR="009A6EA6">
        <w:rPr>
          <w:rFonts w:ascii="仿宋_GB2312" w:eastAsia="仿宋_GB2312" w:hint="eastAsia"/>
          <w:color w:val="000000" w:themeColor="text1"/>
          <w:sz w:val="32"/>
          <w:szCs w:val="32"/>
        </w:rPr>
        <w:t>横县鱼生全链条供应链</w:t>
      </w:r>
      <w:r w:rsidR="009A6EA6">
        <w:rPr>
          <w:rFonts w:ascii="仿宋_GB2312" w:eastAsia="仿宋_GB2312" w:hint="eastAsia"/>
          <w:color w:val="000000" w:themeColor="text1"/>
          <w:sz w:val="32"/>
          <w:szCs w:val="32"/>
        </w:rPr>
        <w:lastRenderedPageBreak/>
        <w:t>管理</w:t>
      </w:r>
      <w:r w:rsidRPr="00A82992">
        <w:rPr>
          <w:rFonts w:ascii="仿宋_GB2312" w:eastAsia="仿宋_GB2312" w:hint="eastAsia"/>
          <w:color w:val="000000" w:themeColor="text1"/>
          <w:sz w:val="32"/>
          <w:szCs w:val="32"/>
        </w:rPr>
        <w:t>进行总结起草的，符合工作实际，有利于</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的实施与推广，具有可操作性和实用性。</w:t>
      </w:r>
    </w:p>
    <w:p w14:paraId="0317409D" w14:textId="77777777" w:rsidR="006B65C5" w:rsidRPr="00A82992" w:rsidRDefault="005F5D38">
      <w:pPr>
        <w:spacing w:line="560" w:lineRule="exact"/>
        <w:ind w:firstLineChars="200" w:firstLine="643"/>
        <w:rPr>
          <w:rFonts w:ascii="仿宋_GB2312" w:eastAsia="仿宋_GB2312" w:hAnsi="楷体" w:cs="Times New Roman"/>
          <w:b/>
          <w:color w:val="000000" w:themeColor="text1"/>
          <w:sz w:val="32"/>
          <w:szCs w:val="32"/>
        </w:rPr>
      </w:pPr>
      <w:r w:rsidRPr="00A82992">
        <w:rPr>
          <w:rFonts w:ascii="仿宋_GB2312" w:eastAsia="仿宋_GB2312" w:hAnsi="楷体" w:cs="Times New Roman" w:hint="eastAsia"/>
          <w:b/>
          <w:color w:val="000000" w:themeColor="text1"/>
          <w:sz w:val="32"/>
          <w:szCs w:val="32"/>
        </w:rPr>
        <w:t>2、协调性原则</w:t>
      </w:r>
    </w:p>
    <w:p w14:paraId="2E166BC0" w14:textId="77DBC1E4"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本文件编写过程中注意了与</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相关法律法规的协调问题，在内容上与现行法律法规、标准协调一致。</w:t>
      </w:r>
    </w:p>
    <w:p w14:paraId="2D307EBE" w14:textId="77777777" w:rsidR="006B65C5" w:rsidRPr="00A82992" w:rsidRDefault="005F5D38">
      <w:pPr>
        <w:spacing w:line="560" w:lineRule="exact"/>
        <w:ind w:firstLineChars="200" w:firstLine="643"/>
        <w:rPr>
          <w:rFonts w:ascii="仿宋_GB2312" w:eastAsia="仿宋_GB2312" w:hAnsi="楷体" w:cs="Times New Roman"/>
          <w:b/>
          <w:color w:val="000000" w:themeColor="text1"/>
          <w:sz w:val="32"/>
          <w:szCs w:val="32"/>
        </w:rPr>
      </w:pPr>
      <w:r w:rsidRPr="00A82992">
        <w:rPr>
          <w:rFonts w:ascii="仿宋_GB2312" w:eastAsia="仿宋_GB2312" w:hAnsi="楷体" w:cs="Times New Roman" w:hint="eastAsia"/>
          <w:b/>
          <w:color w:val="000000" w:themeColor="text1"/>
          <w:sz w:val="32"/>
          <w:szCs w:val="32"/>
        </w:rPr>
        <w:t>3、规范性原则</w:t>
      </w:r>
    </w:p>
    <w:p w14:paraId="387B0F46" w14:textId="77777777" w:rsidR="006B65C5"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本文件严格按照GB/T 1.1—2020《标准化工作规范  第1部分：标准化文件的结构和起草规则》编写本标准的内容，保证标准的编写质量。</w:t>
      </w:r>
    </w:p>
    <w:p w14:paraId="6405B882" w14:textId="77777777" w:rsidR="006B65C5" w:rsidRPr="00A82992" w:rsidRDefault="005F5D38">
      <w:pPr>
        <w:spacing w:line="560" w:lineRule="exact"/>
        <w:ind w:firstLineChars="200" w:firstLine="643"/>
        <w:rPr>
          <w:rFonts w:ascii="仿宋_GB2312" w:eastAsia="仿宋_GB2312" w:hAnsi="楷体" w:cs="Times New Roman"/>
          <w:b/>
          <w:color w:val="000000" w:themeColor="text1"/>
          <w:sz w:val="32"/>
          <w:szCs w:val="32"/>
        </w:rPr>
      </w:pPr>
      <w:r w:rsidRPr="00A82992">
        <w:rPr>
          <w:rFonts w:ascii="仿宋_GB2312" w:eastAsia="仿宋_GB2312" w:hAnsi="楷体" w:cs="Times New Roman" w:hint="eastAsia"/>
          <w:b/>
          <w:color w:val="000000" w:themeColor="text1"/>
          <w:sz w:val="32"/>
          <w:szCs w:val="32"/>
        </w:rPr>
        <w:t>4、前瞻性原则</w:t>
      </w:r>
    </w:p>
    <w:p w14:paraId="4A844963" w14:textId="00B33E85"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本文件在兼顾当前区内</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现实情况的同时，还考虑到了</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的需要，在标准中体现了个别特色性、前瞻性和先进性条款，作为对</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的指导。</w:t>
      </w:r>
    </w:p>
    <w:p w14:paraId="500045F6"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（二）编制依据</w:t>
      </w:r>
    </w:p>
    <w:p w14:paraId="3588D6E5" w14:textId="713C8A9D"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本标准严格按照GB/T 1.1—2020《标准化工作规范  第1部分：标准化文件的结构和起草规则》的规则起草，标准主要内容依据起草单位在</w:t>
      </w:r>
      <w:r w:rsidR="009A6EA6">
        <w:rPr>
          <w:rFonts w:ascii="仿宋_GB2312" w:eastAsia="仿宋_GB2312" w:hint="eastAsia"/>
          <w:color w:val="000000" w:themeColor="text1"/>
          <w:sz w:val="32"/>
          <w:szCs w:val="32"/>
        </w:rPr>
        <w:t>横县鱼生全链条供应链管理</w:t>
      </w:r>
      <w:r w:rsidRPr="00A82992">
        <w:rPr>
          <w:rFonts w:ascii="仿宋_GB2312" w:eastAsia="仿宋_GB2312" w:hint="eastAsia"/>
          <w:color w:val="000000" w:themeColor="text1"/>
          <w:sz w:val="32"/>
          <w:szCs w:val="32"/>
        </w:rPr>
        <w:t>过程中的实践经验确定。</w:t>
      </w:r>
    </w:p>
    <w:p w14:paraId="5DA8D194"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（三）与现行法律、法规的关系，与有关国家标准、行业标准的协调情况</w:t>
      </w:r>
    </w:p>
    <w:p w14:paraId="307CF20F" w14:textId="77777777" w:rsidR="006B65C5" w:rsidRPr="001F1AA9" w:rsidRDefault="005F5D38">
      <w:pPr>
        <w:spacing w:line="520" w:lineRule="exact"/>
        <w:ind w:firstLineChars="200" w:firstLine="640"/>
        <w:rPr>
          <w:rFonts w:ascii="仿宋_GB2312" w:eastAsia="仿宋_GB2312"/>
          <w:color w:val="000000" w:themeColor="text1"/>
          <w:sz w:val="32"/>
          <w:szCs w:val="32"/>
        </w:rPr>
      </w:pPr>
      <w:r w:rsidRPr="001F1AA9">
        <w:rPr>
          <w:rFonts w:ascii="仿宋_GB2312" w:eastAsia="仿宋_GB2312" w:hint="eastAsia"/>
          <w:color w:val="000000" w:themeColor="text1"/>
          <w:sz w:val="32"/>
          <w:szCs w:val="32"/>
        </w:rPr>
        <w:t>本标准与相关法律法规、强制性标准协调一致，无冲突。</w:t>
      </w:r>
    </w:p>
    <w:p w14:paraId="445EF461" w14:textId="216F86D8" w:rsidR="006B65C5" w:rsidRPr="00A82992" w:rsidRDefault="005F5D38" w:rsidP="001F1AA9">
      <w:pPr>
        <w:spacing w:line="520" w:lineRule="exact"/>
        <w:ind w:firstLineChars="200" w:firstLine="640"/>
        <w:rPr>
          <w:rFonts w:ascii="仿宋_GB2312" w:eastAsia="仿宋_GB2312"/>
          <w:color w:val="000000" w:themeColor="text1"/>
          <w:sz w:val="32"/>
          <w:szCs w:val="32"/>
        </w:rPr>
      </w:pPr>
      <w:r w:rsidRPr="001F1AA9">
        <w:rPr>
          <w:rFonts w:ascii="仿宋_GB2312" w:eastAsia="仿宋_GB2312" w:hint="eastAsia"/>
          <w:color w:val="000000" w:themeColor="text1"/>
          <w:sz w:val="32"/>
          <w:szCs w:val="32"/>
        </w:rPr>
        <w:t>经查阅，与</w:t>
      </w:r>
      <w:r w:rsidR="001F1AA9" w:rsidRPr="001F1AA9">
        <w:rPr>
          <w:rFonts w:ascii="仿宋_GB2312" w:eastAsia="仿宋_GB2312" w:hint="eastAsia"/>
          <w:color w:val="000000" w:themeColor="text1"/>
          <w:sz w:val="32"/>
          <w:szCs w:val="32"/>
        </w:rPr>
        <w:t>“鱼生”“供应链管理”</w:t>
      </w:r>
      <w:r w:rsidRPr="001F1AA9">
        <w:rPr>
          <w:rFonts w:ascii="仿宋_GB2312" w:eastAsia="仿宋_GB2312" w:hint="eastAsia"/>
          <w:color w:val="000000" w:themeColor="text1"/>
          <w:sz w:val="32"/>
          <w:szCs w:val="32"/>
        </w:rPr>
        <w:t>相关的现行标准有《</w:t>
      </w:r>
      <w:r w:rsidR="001F1AA9" w:rsidRPr="001F1AA9">
        <w:rPr>
          <w:rFonts w:ascii="仿宋_GB2312" w:eastAsia="仿宋_GB2312" w:hint="eastAsia"/>
          <w:color w:val="000000" w:themeColor="text1"/>
          <w:sz w:val="32"/>
          <w:szCs w:val="32"/>
        </w:rPr>
        <w:t xml:space="preserve">T/SDRA37.2-2024  顺德鱼生全链条管理规范 第2部分：供应链管理》《T/GXAS 1081-2025  横县鱼生制作技术规程》《GB/T </w:t>
      </w:r>
      <w:r w:rsidR="001F1AA9" w:rsidRPr="001F1AA9">
        <w:rPr>
          <w:rFonts w:ascii="仿宋_GB2312" w:eastAsia="仿宋_GB2312" w:hint="eastAsia"/>
          <w:color w:val="000000" w:themeColor="text1"/>
          <w:sz w:val="32"/>
          <w:szCs w:val="32"/>
        </w:rPr>
        <w:lastRenderedPageBreak/>
        <w:t>40040-2021餐饮业供应链管理指南</w:t>
      </w:r>
      <w:r w:rsidRPr="001F1AA9">
        <w:rPr>
          <w:rFonts w:ascii="仿宋_GB2312" w:eastAsia="仿宋_GB2312" w:hint="eastAsia"/>
          <w:color w:val="000000" w:themeColor="text1"/>
          <w:sz w:val="32"/>
          <w:szCs w:val="32"/>
        </w:rPr>
        <w:t>》</w:t>
      </w:r>
      <w:r w:rsidR="001F1AA9">
        <w:rPr>
          <w:rFonts w:ascii="仿宋_GB2312" w:eastAsia="仿宋_GB2312" w:hint="eastAsia"/>
          <w:color w:val="000000" w:themeColor="text1"/>
          <w:sz w:val="32"/>
          <w:szCs w:val="32"/>
        </w:rPr>
        <w:t>。</w:t>
      </w:r>
      <w:r w:rsidR="001F1AA9">
        <w:rPr>
          <w:rFonts w:ascii="仿宋_GB2312" w:eastAsia="仿宋_GB2312"/>
          <w:color w:val="000000" w:themeColor="text1"/>
          <w:sz w:val="32"/>
          <w:szCs w:val="32"/>
        </w:rPr>
        <w:t>其中</w:t>
      </w:r>
      <w:r w:rsidR="001F1AA9">
        <w:rPr>
          <w:rFonts w:ascii="仿宋_GB2312" w:eastAsia="仿宋_GB2312" w:hint="eastAsia"/>
          <w:color w:val="000000" w:themeColor="text1"/>
          <w:sz w:val="32"/>
          <w:szCs w:val="32"/>
        </w:rPr>
        <w:t>：</w:t>
      </w:r>
    </w:p>
    <w:p w14:paraId="4238CEBD" w14:textId="1BA3F7EB" w:rsidR="001F1AA9" w:rsidRDefault="001F1AA9" w:rsidP="00445A19">
      <w:pPr>
        <w:spacing w:line="520" w:lineRule="exact"/>
        <w:ind w:firstLineChars="200" w:firstLine="640"/>
        <w:rPr>
          <w:rFonts w:ascii="仿宋_GB2312" w:eastAsia="仿宋_GB2312"/>
          <w:color w:val="000000" w:themeColor="text1"/>
          <w:sz w:val="32"/>
          <w:szCs w:val="32"/>
        </w:rPr>
      </w:pPr>
      <w:r w:rsidRPr="001F1AA9">
        <w:rPr>
          <w:rFonts w:ascii="仿宋_GB2312" w:eastAsia="仿宋_GB2312" w:hint="eastAsia"/>
          <w:color w:val="000000" w:themeColor="text1"/>
          <w:sz w:val="32"/>
          <w:szCs w:val="32"/>
        </w:rPr>
        <w:t>《T/SDRA37.2-2024  顺德鱼生全链条管理规范 第2部分：供应链管理》</w:t>
      </w:r>
      <w:r w:rsidR="00445A19" w:rsidRPr="00445A19">
        <w:rPr>
          <w:rFonts w:ascii="仿宋_GB2312" w:eastAsia="仿宋_GB2312" w:hint="eastAsia"/>
          <w:color w:val="000000" w:themeColor="text1"/>
          <w:sz w:val="32"/>
          <w:szCs w:val="32"/>
        </w:rPr>
        <w:t>规定了顺德鱼生专用鱼的基本要求、养殖单位义务、餐饮单位采购义务。适用于顺德鱼生专用鱼的供应管理。</w:t>
      </w:r>
    </w:p>
    <w:p w14:paraId="106362E7" w14:textId="03F89EC9" w:rsidR="00445A19" w:rsidRDefault="001F1AA9" w:rsidP="00445A19">
      <w:pPr>
        <w:spacing w:line="520" w:lineRule="exact"/>
        <w:ind w:firstLineChars="200" w:firstLine="640"/>
        <w:rPr>
          <w:rFonts w:ascii="仿宋_GB2312" w:eastAsia="仿宋_GB2312"/>
          <w:color w:val="000000" w:themeColor="text1"/>
          <w:sz w:val="32"/>
          <w:szCs w:val="32"/>
        </w:rPr>
      </w:pPr>
      <w:r w:rsidRPr="001F1AA9">
        <w:rPr>
          <w:rFonts w:ascii="仿宋_GB2312" w:eastAsia="仿宋_GB2312" w:hint="eastAsia"/>
          <w:color w:val="000000" w:themeColor="text1"/>
          <w:sz w:val="32"/>
          <w:szCs w:val="32"/>
        </w:rPr>
        <w:t>《T/GXAS 1081-2025  横县鱼生制作技术规程》</w:t>
      </w:r>
      <w:r w:rsidR="00445A19" w:rsidRPr="00445A19">
        <w:rPr>
          <w:rFonts w:ascii="仿宋_GB2312" w:eastAsia="仿宋_GB2312" w:hint="eastAsia"/>
          <w:color w:val="000000" w:themeColor="text1"/>
          <w:sz w:val="32"/>
          <w:szCs w:val="32"/>
        </w:rPr>
        <w:t>界定了横县鱼生制作技术涉及的术语和定义，确立了横县鱼生制作程序，规定了横县鱼生制作过程卫生要求、专用器具要求以及选料、清养、致晕及放血、起肉、剥皮、切片、成品盛装的操作指示，描述了横县鱼生的食用方法。适用于横县鱼生的制作，其他地方鱼生制作可参照执行。</w:t>
      </w:r>
    </w:p>
    <w:p w14:paraId="0445C3B3" w14:textId="45C3C06E" w:rsidR="006B65C5" w:rsidRPr="00A82992" w:rsidRDefault="001F1AA9" w:rsidP="00682F7F">
      <w:pPr>
        <w:spacing w:line="520" w:lineRule="exact"/>
        <w:ind w:firstLineChars="200" w:firstLine="640"/>
        <w:rPr>
          <w:rFonts w:ascii="仿宋_GB2312" w:eastAsia="仿宋_GB2312"/>
          <w:color w:val="000000" w:themeColor="text1"/>
          <w:sz w:val="32"/>
          <w:szCs w:val="32"/>
        </w:rPr>
      </w:pPr>
      <w:r w:rsidRPr="001F1AA9">
        <w:rPr>
          <w:rFonts w:ascii="仿宋_GB2312" w:eastAsia="仿宋_GB2312" w:hint="eastAsia"/>
          <w:color w:val="000000" w:themeColor="text1"/>
          <w:sz w:val="32"/>
          <w:szCs w:val="32"/>
        </w:rPr>
        <w:t>《GB/T 40040-2021餐饮业供应链管理指南》</w:t>
      </w:r>
      <w:r w:rsidR="00682F7F" w:rsidRPr="00682F7F">
        <w:rPr>
          <w:rFonts w:ascii="仿宋_GB2312" w:eastAsia="仿宋_GB2312" w:hint="eastAsia"/>
          <w:color w:val="000000" w:themeColor="text1"/>
          <w:sz w:val="32"/>
          <w:szCs w:val="32"/>
        </w:rPr>
        <w:t>提供了餐饮业实施供应链管理的总则,给出了餐饮业供应链的基本模型、策划设计与运行管理的指导。适用于指导餐饮经营企业实施供应链管理,其他相关企业可参照使用</w:t>
      </w:r>
      <w:r w:rsidR="005F5D38" w:rsidRPr="00A82992">
        <w:rPr>
          <w:rFonts w:ascii="仿宋_GB2312" w:eastAsia="仿宋_GB2312" w:hint="eastAsia"/>
          <w:color w:val="000000" w:themeColor="text1"/>
          <w:sz w:val="32"/>
          <w:szCs w:val="32"/>
        </w:rPr>
        <w:t>。</w:t>
      </w:r>
    </w:p>
    <w:p w14:paraId="037159B0" w14:textId="609EC390" w:rsidR="006B65C5" w:rsidRPr="00A82992" w:rsidRDefault="005F5D38" w:rsidP="00A6390C">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综上所述，目前与关键词</w:t>
      </w:r>
      <w:r w:rsidR="00361296">
        <w:rPr>
          <w:rFonts w:ascii="仿宋_GB2312" w:eastAsia="仿宋_GB2312" w:hint="eastAsia"/>
          <w:color w:val="000000" w:themeColor="text1"/>
          <w:sz w:val="32"/>
          <w:szCs w:val="32"/>
        </w:rPr>
        <w:t>较</w:t>
      </w:r>
      <w:bookmarkStart w:id="0" w:name="_GoBack"/>
      <w:bookmarkEnd w:id="0"/>
      <w:r w:rsidRPr="00A82992">
        <w:rPr>
          <w:rFonts w:ascii="仿宋_GB2312" w:eastAsia="仿宋_GB2312" w:hint="eastAsia"/>
          <w:color w:val="000000" w:themeColor="text1"/>
          <w:sz w:val="32"/>
          <w:szCs w:val="32"/>
        </w:rPr>
        <w:t>相关的标准</w:t>
      </w:r>
      <w:r w:rsidR="00361296">
        <w:rPr>
          <w:rFonts w:ascii="仿宋_GB2312" w:eastAsia="仿宋_GB2312" w:hint="eastAsia"/>
          <w:color w:val="000000" w:themeColor="text1"/>
          <w:sz w:val="32"/>
          <w:szCs w:val="32"/>
        </w:rPr>
        <w:t>为</w:t>
      </w:r>
      <w:r w:rsidR="00361296" w:rsidRPr="00361296">
        <w:rPr>
          <w:rFonts w:ascii="仿宋_GB2312" w:eastAsia="仿宋_GB2312" w:hint="eastAsia"/>
          <w:color w:val="000000" w:themeColor="text1"/>
          <w:sz w:val="32"/>
          <w:szCs w:val="32"/>
        </w:rPr>
        <w:t>《T/SDRA37.2-2024  顺德鱼生全链条管理规范 第2部分：供应链管理》</w:t>
      </w:r>
      <w:r w:rsidRPr="00A82992">
        <w:rPr>
          <w:rFonts w:ascii="仿宋_GB2312" w:eastAsia="仿宋_GB2312" w:hint="eastAsia"/>
          <w:color w:val="000000" w:themeColor="text1"/>
          <w:sz w:val="32"/>
          <w:szCs w:val="32"/>
        </w:rPr>
        <w:t>，但是</w:t>
      </w:r>
      <w:r w:rsidR="00361296">
        <w:rPr>
          <w:rFonts w:ascii="仿宋_GB2312" w:eastAsia="仿宋_GB2312" w:hint="eastAsia"/>
          <w:color w:val="000000" w:themeColor="text1"/>
          <w:sz w:val="32"/>
          <w:szCs w:val="32"/>
        </w:rPr>
        <w:t>本标准</w:t>
      </w:r>
      <w:r w:rsidR="00361296" w:rsidRPr="006D10D8">
        <w:rPr>
          <w:rFonts w:ascii="仿宋_GB2312" w:eastAsia="仿宋_GB2312" w:hint="eastAsia"/>
          <w:color w:val="000000" w:themeColor="text1"/>
          <w:sz w:val="32"/>
          <w:szCs w:val="32"/>
        </w:rPr>
        <w:t>对于</w:t>
      </w:r>
      <w:r w:rsidR="00361296" w:rsidRPr="006D10D8">
        <w:rPr>
          <w:rFonts w:ascii="仿宋_GB2312" w:eastAsia="仿宋_GB2312"/>
          <w:color w:val="000000" w:themeColor="text1"/>
          <w:sz w:val="32"/>
          <w:szCs w:val="32"/>
        </w:rPr>
        <w:t>横县鱼生全链条供应链管理</w:t>
      </w:r>
      <w:r w:rsidR="00361296" w:rsidRPr="006D10D8">
        <w:rPr>
          <w:rFonts w:ascii="仿宋_GB2312" w:eastAsia="仿宋_GB2312" w:hint="eastAsia"/>
          <w:color w:val="000000" w:themeColor="text1"/>
          <w:sz w:val="32"/>
          <w:szCs w:val="32"/>
        </w:rPr>
        <w:t>的</w:t>
      </w:r>
      <w:r w:rsidR="00A6390C" w:rsidRPr="006D10D8">
        <w:rPr>
          <w:rFonts w:ascii="仿宋_GB2312" w:eastAsia="仿宋_GB2312" w:hint="eastAsia"/>
          <w:color w:val="000000" w:themeColor="text1"/>
          <w:sz w:val="32"/>
          <w:szCs w:val="32"/>
        </w:rPr>
        <w:t>创新突出</w:t>
      </w:r>
      <w:r w:rsidR="00A6390C" w:rsidRPr="006D10D8">
        <w:rPr>
          <w:rFonts w:ascii="仿宋_GB2312" w:eastAsia="仿宋_GB2312"/>
          <w:color w:val="000000" w:themeColor="text1"/>
          <w:sz w:val="32"/>
          <w:szCs w:val="32"/>
        </w:rPr>
        <w:t>了</w:t>
      </w:r>
      <w:r w:rsidR="00A6390C" w:rsidRPr="006D10D8">
        <w:rPr>
          <w:rFonts w:ascii="仿宋_GB2312" w:eastAsia="仿宋_GB2312" w:hint="eastAsia"/>
          <w:color w:val="000000" w:themeColor="text1"/>
          <w:sz w:val="32"/>
          <w:szCs w:val="32"/>
        </w:rPr>
        <w:t>首次将区块链技术与物联网设备结合应用于横县鱼生供应链追溯，采用区块链记录原料来源、加工时间、物流节点等不可篡改信息，同时搭配北斗 + GPS 双模定位、分布式光纤温度传感器、RFID 阅读器等设备，实现 “数据可追溯、过程可监控、异常可预警”。创新追溯码载体与内容设计，支持 EAN/UPC、GS1-128、GS1 二维码等多种载体，且追溯码涵盖养殖单位信息、品种与养殖记录、运输参数、加工视频、检验报告等全维度内容，远超传统追溯码的信息容量，消费者扫码即可获取 “从鱼塘到餐桌” 的完整数据，提升信息透明度。</w:t>
      </w:r>
      <w:r w:rsidR="00827184" w:rsidRPr="006D10D8">
        <w:rPr>
          <w:rFonts w:ascii="仿宋_GB2312" w:eastAsia="仿宋_GB2312" w:hint="eastAsia"/>
          <w:color w:val="000000" w:themeColor="text1"/>
          <w:sz w:val="32"/>
          <w:szCs w:val="32"/>
        </w:rPr>
        <w:t>其他</w:t>
      </w:r>
      <w:r w:rsidR="00827184" w:rsidRPr="006D10D8">
        <w:rPr>
          <w:rFonts w:ascii="仿宋_GB2312" w:eastAsia="仿宋_GB2312"/>
          <w:color w:val="000000" w:themeColor="text1"/>
          <w:sz w:val="32"/>
          <w:szCs w:val="32"/>
        </w:rPr>
        <w:t>检索标准</w:t>
      </w:r>
      <w:r w:rsidRPr="006D10D8">
        <w:rPr>
          <w:rFonts w:ascii="仿宋_GB2312" w:eastAsia="仿宋_GB2312" w:hint="eastAsia"/>
          <w:color w:val="000000" w:themeColor="text1"/>
          <w:sz w:val="32"/>
          <w:szCs w:val="32"/>
        </w:rPr>
        <w:t>不涉及</w:t>
      </w:r>
      <w:r w:rsidR="00827184" w:rsidRPr="006D10D8">
        <w:rPr>
          <w:rFonts w:ascii="仿宋_GB2312" w:eastAsia="仿宋_GB2312"/>
          <w:color w:val="000000" w:themeColor="text1"/>
          <w:sz w:val="32"/>
          <w:szCs w:val="32"/>
        </w:rPr>
        <w:t>横县鱼生全链条供应链</w:t>
      </w:r>
      <w:r w:rsidR="00827184" w:rsidRPr="00827184">
        <w:rPr>
          <w:rFonts w:ascii="仿宋_GB2312" w:eastAsia="仿宋_GB2312"/>
          <w:color w:val="000000" w:themeColor="text1"/>
          <w:sz w:val="32"/>
          <w:szCs w:val="32"/>
        </w:rPr>
        <w:t>管</w:t>
      </w:r>
      <w:r w:rsidR="00827184" w:rsidRPr="00827184">
        <w:rPr>
          <w:rFonts w:ascii="仿宋_GB2312" w:eastAsia="仿宋_GB2312"/>
          <w:color w:val="000000" w:themeColor="text1"/>
          <w:sz w:val="32"/>
          <w:szCs w:val="32"/>
        </w:rPr>
        <w:lastRenderedPageBreak/>
        <w:t>理</w:t>
      </w:r>
      <w:r w:rsidRPr="00A82992">
        <w:rPr>
          <w:rFonts w:ascii="仿宋_GB2312" w:eastAsia="仿宋_GB2312" w:hint="eastAsia"/>
          <w:color w:val="000000" w:themeColor="text1"/>
          <w:sz w:val="32"/>
          <w:szCs w:val="32"/>
        </w:rPr>
        <w:t>相关技术，</w:t>
      </w:r>
      <w:r w:rsidR="00827184">
        <w:rPr>
          <w:rFonts w:ascii="仿宋_GB2312" w:eastAsia="仿宋_GB2312" w:hint="eastAsia"/>
          <w:color w:val="000000" w:themeColor="text1"/>
          <w:sz w:val="32"/>
          <w:szCs w:val="32"/>
        </w:rPr>
        <w:t>无法适用</w:t>
      </w:r>
      <w:r w:rsidRPr="00A82992">
        <w:rPr>
          <w:rFonts w:ascii="仿宋_GB2312" w:eastAsia="仿宋_GB2312" w:hint="eastAsia"/>
          <w:color w:val="000000" w:themeColor="text1"/>
          <w:sz w:val="32"/>
          <w:szCs w:val="32"/>
        </w:rPr>
        <w:t>。</w:t>
      </w:r>
    </w:p>
    <w:p w14:paraId="2E8A5622"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本标准的内容与现行的法律法规及强制性标准无冲突，本文件相关指标不低于强制性国家标准的相关技术要求，标准的编写符合GB/T 1.1—2020的要求。</w:t>
      </w:r>
    </w:p>
    <w:p w14:paraId="0C171BBD" w14:textId="77777777" w:rsidR="006B65C5" w:rsidRPr="00A82992" w:rsidRDefault="005F5D38">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五、主要条款的说明</w:t>
      </w:r>
    </w:p>
    <w:p w14:paraId="3DE30AE8" w14:textId="77777777" w:rsidR="00D03784" w:rsidRPr="00D03784" w:rsidRDefault="005F5D38" w:rsidP="00D03784">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团体标准《</w:t>
      </w:r>
      <w:r w:rsidR="005A39CB">
        <w:rPr>
          <w:rFonts w:ascii="仿宋_GB2312" w:eastAsia="仿宋_GB2312" w:hint="eastAsia"/>
          <w:color w:val="000000" w:themeColor="text1"/>
          <w:sz w:val="32"/>
          <w:szCs w:val="32"/>
        </w:rPr>
        <w:t>横县鱼生全链条管理规范  第5部分：供应链管理</w:t>
      </w:r>
      <w:r w:rsidRPr="00A82992">
        <w:rPr>
          <w:rFonts w:ascii="仿宋_GB2312" w:eastAsia="仿宋_GB2312" w:hint="eastAsia"/>
          <w:color w:val="000000" w:themeColor="text1"/>
          <w:sz w:val="32"/>
          <w:szCs w:val="32"/>
        </w:rPr>
        <w:t>》的核心技术和创新点在于：</w:t>
      </w:r>
      <w:r w:rsidR="00D03784" w:rsidRPr="00D03784">
        <w:rPr>
          <w:rFonts w:ascii="仿宋_GB2312" w:eastAsia="仿宋_GB2312" w:hint="eastAsia"/>
          <w:color w:val="000000" w:themeColor="text1"/>
          <w:sz w:val="32"/>
          <w:szCs w:val="32"/>
        </w:rPr>
        <w:t>首次将区块链技术与物联网设备结合应用于横县鱼生供应链追溯，采用区块链记录原料来源、加工时间、物流节点等不可篡改信息，同时搭配北斗 + GPS 双模定位、分布式光纤温度传感器、RFID 阅读器等设备，实现 “数据可追溯、过程可监控、异常可预警”。</w:t>
      </w:r>
    </w:p>
    <w:p w14:paraId="6D8FDCC7" w14:textId="76ED1959" w:rsidR="006B65C5" w:rsidRPr="00D03784" w:rsidRDefault="00D03784" w:rsidP="00D03784">
      <w:pPr>
        <w:spacing w:line="520" w:lineRule="exact"/>
        <w:ind w:firstLineChars="200" w:firstLine="640"/>
        <w:rPr>
          <w:rFonts w:ascii="仿宋_GB2312" w:eastAsia="仿宋_GB2312" w:hint="eastAsia"/>
          <w:color w:val="000000" w:themeColor="text1"/>
          <w:sz w:val="32"/>
          <w:szCs w:val="32"/>
        </w:rPr>
      </w:pPr>
      <w:r w:rsidRPr="00D03784">
        <w:rPr>
          <w:rFonts w:ascii="仿宋_GB2312" w:eastAsia="仿宋_GB2312" w:hint="eastAsia"/>
          <w:color w:val="000000" w:themeColor="text1"/>
          <w:sz w:val="32"/>
          <w:szCs w:val="32"/>
        </w:rPr>
        <w:t>创新追溯码载体与内容设计，支持 EAN/UPC、GS1-128、GS1 二维码等多种载体，且追溯码涵盖养殖单位信息、品种与养殖记录、运输参数、加工视频、检验报告等全维度内容，远超传统追溯码的信息容量，消费者扫码即可获取 “从鱼塘到餐桌” 的完整数据，提升信息透明度。</w:t>
      </w:r>
    </w:p>
    <w:p w14:paraId="4315A432" w14:textId="0D70FF42" w:rsidR="006B65C5"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团体标准《</w:t>
      </w:r>
      <w:r w:rsidR="005A39CB">
        <w:rPr>
          <w:rFonts w:ascii="仿宋_GB2312" w:eastAsia="仿宋_GB2312" w:hint="eastAsia"/>
          <w:color w:val="000000" w:themeColor="text1"/>
          <w:sz w:val="32"/>
          <w:szCs w:val="32"/>
        </w:rPr>
        <w:t>横县鱼生全链条管理规范  第5部分：供应链管理</w:t>
      </w:r>
      <w:r w:rsidRPr="00A82992">
        <w:rPr>
          <w:rFonts w:ascii="仿宋_GB2312" w:eastAsia="仿宋_GB2312" w:hint="eastAsia"/>
          <w:color w:val="000000" w:themeColor="text1"/>
          <w:sz w:val="32"/>
          <w:szCs w:val="32"/>
        </w:rPr>
        <w:t>》主要内容包括</w:t>
      </w:r>
      <w:r w:rsidR="00E96666" w:rsidRPr="00E96666">
        <w:rPr>
          <w:rFonts w:ascii="仿宋_GB2312" w:eastAsia="仿宋_GB2312"/>
          <w:color w:val="000000" w:themeColor="text1"/>
          <w:sz w:val="32"/>
          <w:szCs w:val="32"/>
        </w:rPr>
        <w:t>可信溯源系统、全过程记录、溯源编码与标识</w:t>
      </w:r>
      <w:r w:rsidR="00E96666" w:rsidRPr="00E96666">
        <w:rPr>
          <w:rFonts w:ascii="仿宋_GB2312" w:eastAsia="仿宋_GB2312" w:hint="eastAsia"/>
          <w:color w:val="000000" w:themeColor="text1"/>
          <w:sz w:val="32"/>
          <w:szCs w:val="32"/>
        </w:rPr>
        <w:t>、</w:t>
      </w:r>
      <w:r w:rsidR="00E96666" w:rsidRPr="00E96666">
        <w:rPr>
          <w:rFonts w:ascii="仿宋_GB2312" w:eastAsia="仿宋_GB2312"/>
          <w:color w:val="000000" w:themeColor="text1"/>
          <w:sz w:val="32"/>
          <w:szCs w:val="32"/>
        </w:rPr>
        <w:t>产品合格证明、运输与物流、</w:t>
      </w:r>
      <w:r w:rsidR="00E96666" w:rsidRPr="00E96666">
        <w:rPr>
          <w:rFonts w:ascii="仿宋_GB2312" w:eastAsia="仿宋_GB2312" w:hint="eastAsia"/>
          <w:color w:val="000000" w:themeColor="text1"/>
          <w:sz w:val="32"/>
          <w:szCs w:val="32"/>
        </w:rPr>
        <w:t>进货查验</w:t>
      </w:r>
      <w:r w:rsidR="00E96666" w:rsidRPr="00E96666">
        <w:rPr>
          <w:rFonts w:ascii="仿宋_GB2312" w:eastAsia="仿宋_GB2312"/>
          <w:color w:val="000000" w:themeColor="text1"/>
          <w:sz w:val="32"/>
          <w:szCs w:val="32"/>
        </w:rPr>
        <w:t>、仓储、追溯与召回</w:t>
      </w:r>
      <w:r w:rsidRPr="00A82992">
        <w:rPr>
          <w:rFonts w:ascii="仿宋_GB2312" w:eastAsia="仿宋_GB2312" w:hint="eastAsia"/>
          <w:color w:val="000000" w:themeColor="text1"/>
          <w:sz w:val="32"/>
          <w:szCs w:val="32"/>
        </w:rPr>
        <w:t>等内容。主要内容及依据来源说明如下：</w:t>
      </w:r>
    </w:p>
    <w:p w14:paraId="78C0B1F6" w14:textId="6C242955" w:rsidR="006B65C5" w:rsidRDefault="006A1A77">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hint="eastAsia"/>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（一）可信</w:t>
      </w:r>
      <w:r>
        <w:rPr>
          <w:rFonts w:ascii="Times New Roman" w:eastAsia="楷体" w:hAnsi="Times New Roman" w:cs="Times New Roman"/>
          <w:b/>
          <w:bCs/>
          <w:color w:val="000000" w:themeColor="text1"/>
          <w:kern w:val="0"/>
          <w:sz w:val="32"/>
          <w:szCs w:val="32"/>
        </w:rPr>
        <w:t>溯源系统</w:t>
      </w:r>
    </w:p>
    <w:p w14:paraId="6134583D" w14:textId="6E0D984D" w:rsidR="006A1A77" w:rsidRPr="006A1A77" w:rsidRDefault="006A1A77" w:rsidP="006A1A77">
      <w:pPr>
        <w:spacing w:line="520" w:lineRule="exact"/>
        <w:ind w:firstLineChars="200" w:firstLine="640"/>
        <w:rPr>
          <w:rFonts w:ascii="仿宋_GB2312" w:eastAsia="仿宋_GB2312" w:hint="eastAsia"/>
          <w:color w:val="000000" w:themeColor="text1"/>
          <w:sz w:val="32"/>
          <w:szCs w:val="32"/>
        </w:rPr>
      </w:pPr>
      <w:r w:rsidRPr="006A1A77">
        <w:rPr>
          <w:rFonts w:ascii="仿宋_GB2312" w:eastAsia="仿宋_GB2312" w:hint="eastAsia"/>
          <w:color w:val="000000" w:themeColor="text1"/>
          <w:sz w:val="32"/>
          <w:szCs w:val="32"/>
        </w:rPr>
        <w:t>遵循《中华人民共和国食品安全法》第四十二条“国家建立食品安全全程追溯制度，食品生产经营者应当依照本法的规定，建立食品安全追溯体系，保证食品可追溯”的核心条款，是法规要求在横县鱼生特色产业中的具体落地。</w:t>
      </w:r>
    </w:p>
    <w:p w14:paraId="7A38A1EF" w14:textId="55602C8C" w:rsidR="00E67F78" w:rsidRPr="006A1A77" w:rsidRDefault="006A1A77" w:rsidP="006A1A77">
      <w:pPr>
        <w:spacing w:line="520" w:lineRule="exact"/>
        <w:ind w:firstLineChars="200" w:firstLine="640"/>
        <w:rPr>
          <w:rFonts w:ascii="仿宋_GB2312" w:eastAsia="仿宋_GB2312"/>
          <w:color w:val="000000" w:themeColor="text1"/>
          <w:sz w:val="32"/>
          <w:szCs w:val="32"/>
        </w:rPr>
      </w:pPr>
      <w:r w:rsidRPr="006A1A77">
        <w:rPr>
          <w:rFonts w:ascii="仿宋_GB2312" w:eastAsia="仿宋_GB2312" w:hint="eastAsia"/>
          <w:color w:val="000000" w:themeColor="text1"/>
          <w:sz w:val="32"/>
          <w:szCs w:val="32"/>
        </w:rPr>
        <w:t>针对横县鱼生产业此前存在的“养殖环节数据不透明、运输</w:t>
      </w:r>
      <w:r w:rsidRPr="006A1A77">
        <w:rPr>
          <w:rFonts w:ascii="仿宋_GB2312" w:eastAsia="仿宋_GB2312" w:hint="eastAsia"/>
          <w:color w:val="000000" w:themeColor="text1"/>
          <w:sz w:val="32"/>
          <w:szCs w:val="32"/>
        </w:rPr>
        <w:lastRenderedPageBreak/>
        <w:t>过程温控无记录、加工操作无追溯”等问题，参考国内同类生鲜农产品（如三文鱼、大闸蟹）的溯源系统建设经验，结合鱼生对寄生虫、兽药残留的高敏感性，构建适配鱼生供应链的专属可信系统。与本系列标准第</w:t>
      </w:r>
      <w:r>
        <w:rPr>
          <w:rFonts w:ascii="仿宋_GB2312" w:eastAsia="仿宋_GB2312" w:hint="eastAsia"/>
          <w:color w:val="000000" w:themeColor="text1"/>
          <w:sz w:val="32"/>
          <w:szCs w:val="32"/>
        </w:rPr>
        <w:t>1</w:t>
      </w:r>
      <w:r w:rsidRPr="006A1A77">
        <w:rPr>
          <w:rFonts w:ascii="仿宋_GB2312" w:eastAsia="仿宋_GB2312" w:hint="eastAsia"/>
          <w:color w:val="000000" w:themeColor="text1"/>
          <w:sz w:val="32"/>
          <w:szCs w:val="32"/>
        </w:rPr>
        <w:t>部分（养殖）的“水质监测、用药记录”、第</w:t>
      </w:r>
      <w:r>
        <w:rPr>
          <w:rFonts w:ascii="仿宋_GB2312" w:eastAsia="仿宋_GB2312" w:hint="eastAsia"/>
          <w:color w:val="000000" w:themeColor="text1"/>
          <w:sz w:val="32"/>
          <w:szCs w:val="32"/>
        </w:rPr>
        <w:t>2</w:t>
      </w:r>
      <w:r w:rsidRPr="006A1A77">
        <w:rPr>
          <w:rFonts w:ascii="仿宋_GB2312" w:eastAsia="仿宋_GB2312" w:hint="eastAsia"/>
          <w:color w:val="000000" w:themeColor="text1"/>
          <w:sz w:val="32"/>
          <w:szCs w:val="32"/>
        </w:rPr>
        <w:t>部分（运输）的“温控要求”、第</w:t>
      </w:r>
      <w:r>
        <w:rPr>
          <w:rFonts w:ascii="仿宋_GB2312" w:eastAsia="仿宋_GB2312" w:hint="eastAsia"/>
          <w:color w:val="000000" w:themeColor="text1"/>
          <w:sz w:val="32"/>
          <w:szCs w:val="32"/>
        </w:rPr>
        <w:t>3</w:t>
      </w:r>
      <w:r w:rsidRPr="006A1A77">
        <w:rPr>
          <w:rFonts w:ascii="仿宋_GB2312" w:eastAsia="仿宋_GB2312" w:hint="eastAsia"/>
          <w:color w:val="000000" w:themeColor="text1"/>
          <w:sz w:val="32"/>
          <w:szCs w:val="32"/>
        </w:rPr>
        <w:t>部分（加工制作）的“卫生规范”形成闭环，确保溯源数据能覆盖全链条关键节点，避免出现“断链”。</w:t>
      </w:r>
    </w:p>
    <w:p w14:paraId="0894CE16" w14:textId="11527176" w:rsidR="006A1A77" w:rsidRDefault="00453B5B">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（二）全过程</w:t>
      </w:r>
      <w:r>
        <w:rPr>
          <w:rFonts w:ascii="Times New Roman" w:eastAsia="楷体" w:hAnsi="Times New Roman" w:cs="Times New Roman"/>
          <w:b/>
          <w:bCs/>
          <w:color w:val="000000" w:themeColor="text1"/>
          <w:kern w:val="0"/>
          <w:sz w:val="32"/>
          <w:szCs w:val="32"/>
        </w:rPr>
        <w:t>记录</w:t>
      </w:r>
    </w:p>
    <w:p w14:paraId="5D0804A2" w14:textId="4184CDDA" w:rsidR="00483F16" w:rsidRPr="00483F16" w:rsidRDefault="00483F16" w:rsidP="00483F16">
      <w:pPr>
        <w:spacing w:line="520" w:lineRule="exact"/>
        <w:ind w:firstLineChars="200" w:firstLine="640"/>
        <w:rPr>
          <w:rFonts w:ascii="仿宋_GB2312" w:eastAsia="仿宋_GB2312" w:hint="eastAsia"/>
          <w:color w:val="000000" w:themeColor="text1"/>
          <w:sz w:val="32"/>
          <w:szCs w:val="32"/>
        </w:rPr>
      </w:pPr>
      <w:r w:rsidRPr="00483F16">
        <w:rPr>
          <w:rFonts w:ascii="仿宋_GB2312" w:eastAsia="仿宋_GB2312" w:hint="eastAsia"/>
          <w:color w:val="000000" w:themeColor="text1"/>
          <w:sz w:val="32"/>
          <w:szCs w:val="32"/>
        </w:rPr>
        <w:t>按“生产环节（投苗、投料、保健、治疗、分池</w:t>
      </w:r>
      <w:r w:rsidR="00E23E08">
        <w:rPr>
          <w:rFonts w:ascii="仿宋_GB2312" w:eastAsia="仿宋_GB2312" w:hint="eastAsia"/>
          <w:color w:val="000000" w:themeColor="text1"/>
          <w:sz w:val="32"/>
          <w:szCs w:val="32"/>
        </w:rPr>
        <w:t>/</w:t>
      </w:r>
      <w:r w:rsidRPr="00483F16">
        <w:rPr>
          <w:rFonts w:ascii="仿宋_GB2312" w:eastAsia="仿宋_GB2312" w:hint="eastAsia"/>
          <w:color w:val="000000" w:themeColor="text1"/>
          <w:sz w:val="32"/>
          <w:szCs w:val="32"/>
        </w:rPr>
        <w:t>转塘、吊水、收获、炼鱼）”和“流通环节（仓储、物流、销售）”划分，每个环节记录对应特定管理需求，例如“保健</w:t>
      </w:r>
      <w:r w:rsidR="00E23E08">
        <w:rPr>
          <w:rFonts w:ascii="仿宋_GB2312" w:eastAsia="仿宋_GB2312" w:hint="eastAsia"/>
          <w:color w:val="000000" w:themeColor="text1"/>
          <w:sz w:val="32"/>
          <w:szCs w:val="32"/>
        </w:rPr>
        <w:t>/</w:t>
      </w:r>
      <w:r w:rsidRPr="00483F16">
        <w:rPr>
          <w:rFonts w:ascii="仿宋_GB2312" w:eastAsia="仿宋_GB2312" w:hint="eastAsia"/>
          <w:color w:val="000000" w:themeColor="text1"/>
          <w:sz w:val="32"/>
          <w:szCs w:val="32"/>
        </w:rPr>
        <w:t>治疗记录”需包含药品名称、剂量、使用时间，用于后续兽药残留追溯；“吊水记录”需包含吊水时长、换水频率，关联鱼生口感与安全性（吊水可减少鱼体内杂质）</w:t>
      </w:r>
      <w:r w:rsidR="00D00076">
        <w:rPr>
          <w:rFonts w:ascii="仿宋_GB2312" w:eastAsia="仿宋_GB2312" w:hint="eastAsia"/>
          <w:color w:val="000000" w:themeColor="text1"/>
          <w:sz w:val="32"/>
          <w:szCs w:val="32"/>
        </w:rPr>
        <w:t>。</w:t>
      </w:r>
    </w:p>
    <w:p w14:paraId="17A6A793" w14:textId="44DDF048" w:rsidR="00483F16" w:rsidRPr="00483F16" w:rsidRDefault="00483F16" w:rsidP="00483F16">
      <w:pPr>
        <w:spacing w:line="520" w:lineRule="exact"/>
        <w:ind w:firstLineChars="200" w:firstLine="640"/>
        <w:rPr>
          <w:rFonts w:ascii="仿宋_GB2312" w:eastAsia="仿宋_GB2312" w:hint="eastAsia"/>
          <w:color w:val="000000" w:themeColor="text1"/>
          <w:sz w:val="32"/>
          <w:szCs w:val="32"/>
        </w:rPr>
      </w:pPr>
      <w:r w:rsidRPr="00483F16">
        <w:rPr>
          <w:rFonts w:ascii="仿宋_GB2312" w:eastAsia="仿宋_GB2312" w:hint="eastAsia"/>
          <w:color w:val="000000" w:themeColor="text1"/>
          <w:sz w:val="32"/>
          <w:szCs w:val="32"/>
        </w:rPr>
        <w:t>鼓励大型企业采用电子化记录（如通过养殖管理</w:t>
      </w:r>
      <w:r w:rsidR="00E23E08">
        <w:rPr>
          <w:rFonts w:ascii="仿宋_GB2312" w:eastAsia="仿宋_GB2312" w:hint="eastAsia"/>
          <w:color w:val="000000" w:themeColor="text1"/>
          <w:sz w:val="32"/>
          <w:szCs w:val="32"/>
        </w:rPr>
        <w:t xml:space="preserve"> APP</w:t>
      </w:r>
      <w:r w:rsidRPr="00483F16">
        <w:rPr>
          <w:rFonts w:ascii="仿宋_GB2312" w:eastAsia="仿宋_GB2312" w:hint="eastAsia"/>
          <w:color w:val="000000" w:themeColor="text1"/>
          <w:sz w:val="32"/>
          <w:szCs w:val="32"/>
        </w:rPr>
        <w:t>实时录入），小微企业可采用纸质表单，但需保证字迹清晰、签字完整，且定期扫描存档</w:t>
      </w:r>
      <w:r w:rsidR="00D00076">
        <w:rPr>
          <w:rFonts w:ascii="仿宋_GB2312" w:eastAsia="仿宋_GB2312" w:hint="eastAsia"/>
          <w:color w:val="000000" w:themeColor="text1"/>
          <w:sz w:val="32"/>
          <w:szCs w:val="32"/>
        </w:rPr>
        <w:t>。</w:t>
      </w:r>
    </w:p>
    <w:p w14:paraId="22D770B2" w14:textId="4B1B57C3" w:rsidR="00453B5B" w:rsidRDefault="00483F16" w:rsidP="00483F16">
      <w:pPr>
        <w:spacing w:line="520" w:lineRule="exact"/>
        <w:ind w:firstLineChars="200" w:firstLine="640"/>
        <w:rPr>
          <w:rFonts w:ascii="仿宋_GB2312" w:eastAsia="仿宋_GB2312"/>
          <w:color w:val="000000" w:themeColor="text1"/>
          <w:sz w:val="32"/>
          <w:szCs w:val="32"/>
        </w:rPr>
      </w:pPr>
      <w:r w:rsidRPr="00483F16">
        <w:rPr>
          <w:rFonts w:ascii="仿宋_GB2312" w:eastAsia="仿宋_GB2312" w:hint="eastAsia"/>
          <w:color w:val="000000" w:themeColor="text1"/>
          <w:sz w:val="32"/>
          <w:szCs w:val="32"/>
        </w:rPr>
        <w:t>记录数据不仅用于追溯，还可作为企业优化生产的依据，例如通过分析“投料记录与鱼生长速度”，调整投料量以降低成本；通过</w:t>
      </w:r>
      <w:r>
        <w:rPr>
          <w:rFonts w:ascii="仿宋_GB2312" w:eastAsia="仿宋_GB2312" w:hint="eastAsia"/>
          <w:color w:val="000000" w:themeColor="text1"/>
          <w:sz w:val="32"/>
          <w:szCs w:val="32"/>
        </w:rPr>
        <w:t>“销售记录与季节关联”，预判消费高峰，提前调整库存</w:t>
      </w:r>
      <w:r w:rsidRPr="00483F16">
        <w:rPr>
          <w:rFonts w:ascii="仿宋_GB2312" w:eastAsia="仿宋_GB2312" w:hint="eastAsia"/>
          <w:color w:val="000000" w:themeColor="text1"/>
          <w:sz w:val="32"/>
          <w:szCs w:val="32"/>
        </w:rPr>
        <w:t>。</w:t>
      </w:r>
    </w:p>
    <w:p w14:paraId="529B7DF8" w14:textId="235382DF" w:rsidR="00D00076" w:rsidRPr="00247ED2" w:rsidRDefault="00247ED2" w:rsidP="00247ED2">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247ED2">
        <w:rPr>
          <w:rFonts w:ascii="Times New Roman" w:eastAsia="楷体" w:hAnsi="Times New Roman" w:cs="Times New Roman" w:hint="eastAsia"/>
          <w:b/>
          <w:bCs/>
          <w:color w:val="000000" w:themeColor="text1"/>
          <w:kern w:val="0"/>
          <w:sz w:val="32"/>
          <w:szCs w:val="32"/>
        </w:rPr>
        <w:t>（三）溯源编码与标识</w:t>
      </w:r>
    </w:p>
    <w:p w14:paraId="55D06380" w14:textId="7746982E" w:rsidR="00247ED2" w:rsidRDefault="00247ED2" w:rsidP="00483F16">
      <w:pPr>
        <w:spacing w:line="520" w:lineRule="exact"/>
        <w:ind w:firstLineChars="200" w:firstLine="640"/>
        <w:rPr>
          <w:rFonts w:ascii="仿宋_GB2312" w:eastAsia="仿宋_GB2312"/>
          <w:color w:val="000000" w:themeColor="text1"/>
          <w:sz w:val="32"/>
          <w:szCs w:val="32"/>
        </w:rPr>
      </w:pPr>
      <w:r w:rsidRPr="00247ED2">
        <w:rPr>
          <w:rFonts w:ascii="仿宋_GB2312" w:eastAsia="仿宋_GB2312" w:hint="eastAsia"/>
          <w:color w:val="000000" w:themeColor="text1"/>
          <w:sz w:val="32"/>
          <w:szCs w:val="32"/>
        </w:rPr>
        <w:t>解决供应链中“产品身份识别”问题，通过唯一编码实现“一物一码”或“一批一码”，确保每批次鱼生的全链条信息可精准追踪，同时兼顾不同企业的技术能力（如大型企业可采用高精度二维码，小微企业可使用基础条形码），并符合国际通用标准，便于未来产业升级与对外流通。</w:t>
      </w:r>
      <w:r w:rsidRPr="00247ED2">
        <w:rPr>
          <w:rFonts w:ascii="仿宋_GB2312" w:eastAsia="仿宋_GB2312" w:hint="eastAsia"/>
          <w:color w:val="000000" w:themeColor="text1"/>
          <w:sz w:val="32"/>
          <w:szCs w:val="32"/>
        </w:rPr>
        <w:t>EAN/UPC：适用于仅需记录基础</w:t>
      </w:r>
      <w:r w:rsidRPr="00247ED2">
        <w:rPr>
          <w:rFonts w:ascii="仿宋_GB2312" w:eastAsia="仿宋_GB2312" w:hint="eastAsia"/>
          <w:color w:val="000000" w:themeColor="text1"/>
          <w:sz w:val="32"/>
          <w:szCs w:val="32"/>
        </w:rPr>
        <w:lastRenderedPageBreak/>
        <w:t>信息（企业名称、品种、批次）的场景，识别速度快，普通扫码枪即可读取；GS1-128：可存储变长数据，适合记录 “运输车辆号、温控范围” 等动态信息，常用于物流环节；GS1 二维码：可存储文本、图片、视频链接等多种格式数据，例如扫描后可直接查看加工环节的工人操作视频，信息最丰富，适合终端消费者查询</w:t>
      </w:r>
      <w:r>
        <w:rPr>
          <w:rFonts w:ascii="仿宋_GB2312" w:eastAsia="仿宋_GB2312" w:hint="eastAsia"/>
          <w:color w:val="000000" w:themeColor="text1"/>
          <w:sz w:val="32"/>
          <w:szCs w:val="32"/>
        </w:rPr>
        <w:t>。</w:t>
      </w:r>
      <w:r w:rsidRPr="00247ED2">
        <w:rPr>
          <w:rFonts w:ascii="仿宋_GB2312" w:eastAsia="仿宋_GB2312" w:hint="eastAsia"/>
          <w:color w:val="000000" w:themeColor="text1"/>
          <w:sz w:val="32"/>
          <w:szCs w:val="32"/>
        </w:rPr>
        <w:t>考虑到横县鱼生企业规模差异（从大型养殖基地到小型餐饮店），选择的编码载体覆盖“低成本（条形码）- 高精度（二维码）”全范围，例如小微企业可使用 EAN/UPC 条形码（印刷成本低、识别设备普及），大型企业可使用 GS1 二维码（可存储更多数据，如加工视频链接），避免因技术门槛过高导致标准难以落地。</w:t>
      </w:r>
    </w:p>
    <w:p w14:paraId="6A49035C" w14:textId="44713FA3" w:rsidR="00116347" w:rsidRPr="00116347" w:rsidRDefault="00116347" w:rsidP="00116347">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hint="eastAsia"/>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（四）</w:t>
      </w:r>
      <w:r w:rsidRPr="00116347">
        <w:rPr>
          <w:rFonts w:ascii="Times New Roman" w:eastAsia="楷体" w:hAnsi="Times New Roman" w:cs="Times New Roman" w:hint="eastAsia"/>
          <w:b/>
          <w:bCs/>
          <w:color w:val="000000" w:themeColor="text1"/>
          <w:kern w:val="0"/>
          <w:sz w:val="32"/>
          <w:szCs w:val="32"/>
        </w:rPr>
        <w:t>产品</w:t>
      </w:r>
      <w:r w:rsidRPr="00116347">
        <w:rPr>
          <w:rFonts w:ascii="Times New Roman" w:eastAsia="楷体" w:hAnsi="Times New Roman" w:cs="Times New Roman"/>
          <w:b/>
          <w:bCs/>
          <w:color w:val="000000" w:themeColor="text1"/>
          <w:kern w:val="0"/>
          <w:sz w:val="32"/>
          <w:szCs w:val="32"/>
        </w:rPr>
        <w:t>合格证明</w:t>
      </w:r>
    </w:p>
    <w:p w14:paraId="66628D46" w14:textId="69CB55A7" w:rsidR="00116347" w:rsidRDefault="00116347" w:rsidP="00483F16">
      <w:pPr>
        <w:spacing w:line="520" w:lineRule="exact"/>
        <w:ind w:firstLineChars="200" w:firstLine="640"/>
        <w:rPr>
          <w:rFonts w:ascii="仿宋_GB2312" w:eastAsia="仿宋_GB2312"/>
          <w:color w:val="000000" w:themeColor="text1"/>
          <w:sz w:val="32"/>
          <w:szCs w:val="32"/>
        </w:rPr>
      </w:pPr>
      <w:r w:rsidRPr="00116347">
        <w:rPr>
          <w:rFonts w:ascii="仿宋_GB2312" w:eastAsia="仿宋_GB2312" w:hint="eastAsia"/>
          <w:color w:val="000000" w:themeColor="text1"/>
          <w:sz w:val="32"/>
          <w:szCs w:val="32"/>
        </w:rPr>
        <w:t>从 “源头把控质量” 的角度出发，通过第三方检验报告确保鱼生原料的安全性，重点聚焦鱼生消费中最受关注的 “兽药残留” 和 “寄生虫” 问题，同时以 “批（池、塘、桶、筏）” 为单位出具证明，实现 “一批一证”，避免 “一证多用” 导致的质量失控，也为餐饮端进货查验提供明确依据。</w:t>
      </w:r>
    </w:p>
    <w:p w14:paraId="1444ADEE" w14:textId="1B4FFA6D" w:rsidR="00116347" w:rsidRPr="00116347" w:rsidRDefault="00116347" w:rsidP="00116347">
      <w:pPr>
        <w:spacing w:line="520" w:lineRule="exact"/>
        <w:ind w:firstLineChars="200" w:firstLine="640"/>
        <w:rPr>
          <w:rFonts w:ascii="仿宋_GB2312" w:eastAsia="仿宋_GB2312" w:hint="eastAsia"/>
          <w:color w:val="000000" w:themeColor="text1"/>
          <w:sz w:val="32"/>
          <w:szCs w:val="32"/>
        </w:rPr>
      </w:pPr>
      <w:r w:rsidRPr="00116347">
        <w:rPr>
          <w:rFonts w:ascii="仿宋_GB2312" w:eastAsia="仿宋_GB2312" w:hint="eastAsia"/>
          <w:color w:val="000000" w:themeColor="text1"/>
          <w:sz w:val="32"/>
          <w:szCs w:val="32"/>
        </w:rPr>
        <w:t>要求出具报告的第三方机构具备 CMA（中国计量认证）或 CNAS（中国合格评定国家认可委员会）资质，确保检测方法、设备符合国家标准，检测结果具有法律效力</w:t>
      </w:r>
      <w:r>
        <w:rPr>
          <w:rFonts w:ascii="仿宋_GB2312" w:eastAsia="仿宋_GB2312" w:hint="eastAsia"/>
          <w:color w:val="000000" w:themeColor="text1"/>
          <w:sz w:val="32"/>
          <w:szCs w:val="32"/>
        </w:rPr>
        <w:t>。</w:t>
      </w:r>
    </w:p>
    <w:p w14:paraId="5B82D7DB" w14:textId="741C9278" w:rsidR="00116347" w:rsidRPr="00116347" w:rsidRDefault="00116347" w:rsidP="00116347">
      <w:pPr>
        <w:spacing w:line="520" w:lineRule="exact"/>
        <w:ind w:firstLineChars="200" w:firstLine="640"/>
        <w:rPr>
          <w:rFonts w:ascii="仿宋_GB2312" w:eastAsia="仿宋_GB2312" w:hint="eastAsia"/>
          <w:color w:val="000000" w:themeColor="text1"/>
          <w:sz w:val="32"/>
          <w:szCs w:val="32"/>
        </w:rPr>
      </w:pPr>
      <w:r w:rsidRPr="00116347">
        <w:rPr>
          <w:rFonts w:ascii="仿宋_GB2312" w:eastAsia="仿宋_GB2312" w:hint="eastAsia"/>
          <w:color w:val="000000" w:themeColor="text1"/>
          <w:sz w:val="32"/>
          <w:szCs w:val="32"/>
        </w:rPr>
        <w:t>兽药残留：采用 “高效液相色谱 - 质谱联用（HPLC-MS/MS）” 技术，可精准检测氯霉素、呋喃唑酮等禁用兽药，检测下限可达 0.01 ppb，满足 “&lt;0.1 ppb” 的严格要求</w:t>
      </w:r>
      <w:r>
        <w:rPr>
          <w:rFonts w:ascii="仿宋_GB2312" w:eastAsia="仿宋_GB2312" w:hint="eastAsia"/>
          <w:color w:val="000000" w:themeColor="text1"/>
          <w:sz w:val="32"/>
          <w:szCs w:val="32"/>
        </w:rPr>
        <w:t>。</w:t>
      </w:r>
    </w:p>
    <w:p w14:paraId="459FDAA1" w14:textId="668A3C3C" w:rsidR="00116347" w:rsidRPr="00116347" w:rsidRDefault="00116347" w:rsidP="00116347">
      <w:pPr>
        <w:spacing w:line="520" w:lineRule="exact"/>
        <w:ind w:firstLineChars="200" w:firstLine="640"/>
        <w:rPr>
          <w:rFonts w:ascii="仿宋_GB2312" w:eastAsia="仿宋_GB2312" w:hint="eastAsia"/>
          <w:color w:val="000000" w:themeColor="text1"/>
          <w:sz w:val="32"/>
          <w:szCs w:val="32"/>
        </w:rPr>
      </w:pPr>
      <w:r w:rsidRPr="00116347">
        <w:rPr>
          <w:rFonts w:ascii="仿宋_GB2312" w:eastAsia="仿宋_GB2312" w:hint="eastAsia"/>
          <w:color w:val="000000" w:themeColor="text1"/>
          <w:sz w:val="32"/>
          <w:szCs w:val="32"/>
        </w:rPr>
        <w:t>寄生虫检测：采用 “解剖镜观察 + 分子生物学检测” 结合的方式，先通过解剖镜检查鱼体肌肉、内脏中的寄生虫成虫及虫卵，再通过 PCR 技术检测寄生虫 DNA，避免漏检</w:t>
      </w:r>
      <w:r>
        <w:rPr>
          <w:rFonts w:ascii="仿宋_GB2312" w:eastAsia="仿宋_GB2312" w:hint="eastAsia"/>
          <w:color w:val="000000" w:themeColor="text1"/>
          <w:sz w:val="32"/>
          <w:szCs w:val="32"/>
        </w:rPr>
        <w:t>。</w:t>
      </w:r>
    </w:p>
    <w:p w14:paraId="7B4F51E8" w14:textId="23211FC6" w:rsidR="00116347" w:rsidRDefault="00116347" w:rsidP="00116347">
      <w:pPr>
        <w:spacing w:line="520" w:lineRule="exact"/>
        <w:ind w:firstLineChars="200" w:firstLine="640"/>
        <w:rPr>
          <w:rFonts w:ascii="仿宋_GB2312" w:eastAsia="仿宋_GB2312"/>
          <w:color w:val="000000" w:themeColor="text1"/>
          <w:sz w:val="32"/>
          <w:szCs w:val="32"/>
        </w:rPr>
      </w:pPr>
      <w:r w:rsidRPr="00116347">
        <w:rPr>
          <w:rFonts w:ascii="仿宋_GB2312" w:eastAsia="仿宋_GB2312" w:hint="eastAsia"/>
          <w:color w:val="000000" w:themeColor="text1"/>
          <w:sz w:val="32"/>
          <w:szCs w:val="32"/>
        </w:rPr>
        <w:lastRenderedPageBreak/>
        <w:t>淡水螺及螺卵检测：对养殖水体、鱼体表面进行取样，通过显微镜观察是否存在淡水螺（如钉螺）及螺卵，防止寄生虫宿主进入供应链</w:t>
      </w:r>
      <w:r>
        <w:rPr>
          <w:rFonts w:ascii="仿宋_GB2312" w:eastAsia="仿宋_GB2312" w:hint="eastAsia"/>
          <w:color w:val="000000" w:themeColor="text1"/>
          <w:sz w:val="32"/>
          <w:szCs w:val="32"/>
        </w:rPr>
        <w:t>。</w:t>
      </w:r>
    </w:p>
    <w:p w14:paraId="48CCA8ED" w14:textId="77777777" w:rsidR="00116347" w:rsidRDefault="00116347" w:rsidP="00116347">
      <w:pPr>
        <w:spacing w:line="520" w:lineRule="exact"/>
        <w:ind w:firstLineChars="200" w:firstLine="640"/>
        <w:rPr>
          <w:rFonts w:ascii="仿宋_GB2312" w:eastAsia="仿宋_GB2312" w:hint="eastAsia"/>
          <w:color w:val="000000" w:themeColor="text1"/>
          <w:sz w:val="32"/>
          <w:szCs w:val="32"/>
        </w:rPr>
      </w:pPr>
    </w:p>
    <w:p w14:paraId="465785A2" w14:textId="77ED85AD" w:rsidR="00116347" w:rsidRPr="00116347" w:rsidRDefault="00116347" w:rsidP="00116347">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hint="eastAsia"/>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w:t>
      </w:r>
      <w:r>
        <w:rPr>
          <w:rFonts w:ascii="Times New Roman" w:eastAsia="楷体" w:hAnsi="Times New Roman" w:cs="Times New Roman" w:hint="eastAsia"/>
          <w:b/>
          <w:bCs/>
          <w:color w:val="000000" w:themeColor="text1"/>
          <w:kern w:val="0"/>
          <w:sz w:val="32"/>
          <w:szCs w:val="32"/>
        </w:rPr>
        <w:t>五</w:t>
      </w:r>
      <w:r>
        <w:rPr>
          <w:rFonts w:ascii="Times New Roman" w:eastAsia="楷体" w:hAnsi="Times New Roman" w:cs="Times New Roman" w:hint="eastAsia"/>
          <w:b/>
          <w:bCs/>
          <w:color w:val="000000" w:themeColor="text1"/>
          <w:kern w:val="0"/>
          <w:sz w:val="32"/>
          <w:szCs w:val="32"/>
        </w:rPr>
        <w:t>）</w:t>
      </w:r>
      <w:r>
        <w:rPr>
          <w:rFonts w:ascii="Times New Roman" w:eastAsia="楷体" w:hAnsi="Times New Roman" w:cs="Times New Roman" w:hint="eastAsia"/>
          <w:b/>
          <w:bCs/>
          <w:color w:val="000000" w:themeColor="text1"/>
          <w:kern w:val="0"/>
          <w:sz w:val="32"/>
          <w:szCs w:val="32"/>
        </w:rPr>
        <w:t>运输与</w:t>
      </w:r>
      <w:r>
        <w:rPr>
          <w:rFonts w:ascii="Times New Roman" w:eastAsia="楷体" w:hAnsi="Times New Roman" w:cs="Times New Roman"/>
          <w:b/>
          <w:bCs/>
          <w:color w:val="000000" w:themeColor="text1"/>
          <w:kern w:val="0"/>
          <w:sz w:val="32"/>
          <w:szCs w:val="32"/>
        </w:rPr>
        <w:t>物流</w:t>
      </w:r>
    </w:p>
    <w:p w14:paraId="6802633B" w14:textId="60895586" w:rsidR="00116347" w:rsidRDefault="00116347" w:rsidP="00116347">
      <w:pPr>
        <w:spacing w:line="520" w:lineRule="exact"/>
        <w:ind w:firstLineChars="200" w:firstLine="640"/>
        <w:rPr>
          <w:rFonts w:ascii="仿宋_GB2312" w:eastAsia="仿宋_GB2312"/>
          <w:color w:val="000000" w:themeColor="text1"/>
          <w:sz w:val="32"/>
          <w:szCs w:val="32"/>
        </w:rPr>
      </w:pPr>
      <w:r w:rsidRPr="00116347">
        <w:rPr>
          <w:rFonts w:ascii="仿宋_GB2312" w:eastAsia="仿宋_GB2312" w:hint="eastAsia"/>
          <w:color w:val="000000" w:themeColor="text1"/>
          <w:sz w:val="32"/>
          <w:szCs w:val="32"/>
        </w:rPr>
        <w:t>围绕横县鱼生 “鲜活原料 + 生食需求” 的特性，聚焦 “温控精准性、配送时效性、应急可控性” 三大核心目标，通过技术手段（温控设备、定位系统）和管理规范（路线优化、响应机制），减少运输过程中的原料损耗，避免因温度不当、配送超时导致寄生虫滋生或肉质变质，同时保障供应链的稳定性。</w:t>
      </w:r>
    </w:p>
    <w:p w14:paraId="49F63594" w14:textId="71BACDD6" w:rsidR="00116347" w:rsidRPr="00116347" w:rsidRDefault="00116347" w:rsidP="00116347">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hint="eastAsia"/>
          <w:b/>
          <w:bCs/>
          <w:color w:val="000000" w:themeColor="text1"/>
          <w:kern w:val="0"/>
          <w:sz w:val="32"/>
          <w:szCs w:val="32"/>
        </w:rPr>
      </w:pPr>
      <w:r>
        <w:rPr>
          <w:rFonts w:ascii="Times New Roman" w:eastAsia="楷体" w:hAnsi="Times New Roman" w:cs="Times New Roman" w:hint="eastAsia"/>
          <w:b/>
          <w:bCs/>
          <w:color w:val="000000" w:themeColor="text1"/>
          <w:kern w:val="0"/>
          <w:sz w:val="32"/>
          <w:szCs w:val="32"/>
        </w:rPr>
        <w:t>（</w:t>
      </w:r>
      <w:r>
        <w:rPr>
          <w:rFonts w:ascii="Times New Roman" w:eastAsia="楷体" w:hAnsi="Times New Roman" w:cs="Times New Roman" w:hint="eastAsia"/>
          <w:b/>
          <w:bCs/>
          <w:color w:val="000000" w:themeColor="text1"/>
          <w:kern w:val="0"/>
          <w:sz w:val="32"/>
          <w:szCs w:val="32"/>
        </w:rPr>
        <w:t>六</w:t>
      </w:r>
      <w:r>
        <w:rPr>
          <w:rFonts w:ascii="Times New Roman" w:eastAsia="楷体" w:hAnsi="Times New Roman" w:cs="Times New Roman" w:hint="eastAsia"/>
          <w:b/>
          <w:bCs/>
          <w:color w:val="000000" w:themeColor="text1"/>
          <w:kern w:val="0"/>
          <w:sz w:val="32"/>
          <w:szCs w:val="32"/>
        </w:rPr>
        <w:t>）</w:t>
      </w:r>
      <w:r w:rsidRPr="00116347">
        <w:rPr>
          <w:rFonts w:ascii="Times New Roman" w:eastAsia="楷体" w:hAnsi="Times New Roman" w:cs="Times New Roman" w:hint="eastAsia"/>
          <w:b/>
          <w:bCs/>
          <w:color w:val="000000" w:themeColor="text1"/>
          <w:kern w:val="0"/>
          <w:sz w:val="32"/>
          <w:szCs w:val="32"/>
        </w:rPr>
        <w:t>进货查验</w:t>
      </w:r>
    </w:p>
    <w:p w14:paraId="7769BFFE" w14:textId="77777777" w:rsidR="00116347" w:rsidRPr="00116347" w:rsidRDefault="00116347" w:rsidP="00116347">
      <w:pPr>
        <w:spacing w:line="520" w:lineRule="exact"/>
        <w:ind w:firstLineChars="200" w:firstLine="640"/>
        <w:rPr>
          <w:rFonts w:ascii="仿宋_GB2312" w:eastAsia="仿宋_GB2312" w:hint="eastAsia"/>
          <w:color w:val="000000" w:themeColor="text1"/>
          <w:sz w:val="32"/>
          <w:szCs w:val="32"/>
        </w:rPr>
      </w:pPr>
      <w:r w:rsidRPr="00116347">
        <w:rPr>
          <w:rFonts w:ascii="仿宋_GB2312" w:eastAsia="仿宋_GB2312" w:hint="eastAsia"/>
          <w:color w:val="000000" w:themeColor="text1"/>
          <w:sz w:val="32"/>
          <w:szCs w:val="32"/>
        </w:rPr>
        <w:t>从 “餐饮端质量把关” 的角度出发，通过明确查验内容、不合格判定标准，构建供应链 “下游监督上游” 的机制，避免不合格原料流入消费环节；同时将查验信息与供应商评价挂钩，推动上游企业提升质量，形成 “良性循环”。遵循《中华人民共和国食品安全法》第五十三条 “食品经营者采购食品，应当查验供货者的许可证和食品出厂检验合格证或者其他合格证明” 的规定，结合横县鱼生的特性，细化 “合格证明” 的具体项目；</w:t>
      </w:r>
      <w:r w:rsidRPr="00116347">
        <w:rPr>
          <w:rFonts w:ascii="仿宋_GB2312" w:eastAsia="仿宋_GB2312" w:hint="eastAsia"/>
          <w:color w:val="000000" w:themeColor="text1"/>
          <w:sz w:val="32"/>
          <w:szCs w:val="32"/>
        </w:rPr>
        <w:t>针对此前行业中存在的 “溯源信息伪造、合格证明套用” 等问题，引入 “手持式终端虹膜识别” 技术（鱼生用鱼可通过虹膜特征实现个体识别，比标识牌更难伪造），提升查验的准确性；同时明确不合格情形，避免餐饮端因 “查验标准模糊” 导致误收不合格原料。</w:t>
      </w:r>
    </w:p>
    <w:p w14:paraId="2109AE69" w14:textId="3708EF1D" w:rsidR="00116347" w:rsidRPr="00116347" w:rsidRDefault="00116347" w:rsidP="00116347">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116347">
        <w:rPr>
          <w:rFonts w:ascii="Times New Roman" w:eastAsia="楷体" w:hAnsi="Times New Roman" w:cs="Times New Roman" w:hint="eastAsia"/>
          <w:b/>
          <w:bCs/>
          <w:color w:val="000000" w:themeColor="text1"/>
          <w:kern w:val="0"/>
          <w:sz w:val="32"/>
          <w:szCs w:val="32"/>
        </w:rPr>
        <w:t>（七）</w:t>
      </w:r>
      <w:r w:rsidRPr="00116347">
        <w:rPr>
          <w:rFonts w:ascii="Times New Roman" w:eastAsia="楷体" w:hAnsi="Times New Roman" w:cs="Times New Roman" w:hint="eastAsia"/>
          <w:b/>
          <w:bCs/>
          <w:color w:val="000000" w:themeColor="text1"/>
          <w:kern w:val="0"/>
          <w:sz w:val="32"/>
          <w:szCs w:val="32"/>
        </w:rPr>
        <w:t>仓储</w:t>
      </w:r>
    </w:p>
    <w:p w14:paraId="0D695112" w14:textId="44DD30E9" w:rsidR="00116347" w:rsidRDefault="00116347" w:rsidP="00116347">
      <w:pPr>
        <w:spacing w:line="520" w:lineRule="exact"/>
        <w:ind w:firstLineChars="200" w:firstLine="640"/>
        <w:rPr>
          <w:rFonts w:ascii="仿宋_GB2312" w:eastAsia="仿宋_GB2312"/>
          <w:color w:val="000000" w:themeColor="text1"/>
          <w:sz w:val="32"/>
          <w:szCs w:val="32"/>
        </w:rPr>
      </w:pPr>
      <w:r w:rsidRPr="00116347">
        <w:rPr>
          <w:rFonts w:ascii="仿宋_GB2312" w:eastAsia="仿宋_GB2312" w:hint="eastAsia"/>
          <w:color w:val="000000" w:themeColor="text1"/>
          <w:sz w:val="32"/>
          <w:szCs w:val="32"/>
        </w:rPr>
        <w:t>针对横县鱼生原料“鲜活易变质、周转要求高”的特性，以及不同规模企业仓储能力差异，围绕 “库存精准可控、成本最</w:t>
      </w:r>
      <w:r w:rsidRPr="00116347">
        <w:rPr>
          <w:rFonts w:ascii="仿宋_GB2312" w:eastAsia="仿宋_GB2312" w:hint="eastAsia"/>
          <w:color w:val="000000" w:themeColor="text1"/>
          <w:sz w:val="32"/>
          <w:szCs w:val="32"/>
        </w:rPr>
        <w:lastRenderedPageBreak/>
        <w:t>优、损耗最低” 三大目标构建仓储管理体系。一方面通过智慧化技术实现库存数据实时同步，避免 “账实不符”导致的补货延误或库存积压；另一方面结合消费需求动态调整库存计划，平衡 “保障供应” 与 “降低损耗” 的矛盾</w:t>
      </w:r>
      <w:r w:rsidR="0032312E">
        <w:rPr>
          <w:rFonts w:ascii="仿宋_GB2312" w:eastAsia="仿宋_GB2312" w:hint="eastAsia"/>
          <w:color w:val="000000" w:themeColor="text1"/>
          <w:sz w:val="32"/>
          <w:szCs w:val="32"/>
        </w:rPr>
        <w:t>。</w:t>
      </w:r>
    </w:p>
    <w:p w14:paraId="58F8F266" w14:textId="7864803A" w:rsidR="00116347" w:rsidRDefault="00116347" w:rsidP="00116347">
      <w:pPr>
        <w:spacing w:line="520" w:lineRule="exact"/>
        <w:ind w:firstLineChars="200" w:firstLine="640"/>
        <w:rPr>
          <w:rFonts w:ascii="仿宋_GB2312" w:eastAsia="仿宋_GB2312"/>
          <w:color w:val="000000" w:themeColor="text1"/>
          <w:sz w:val="32"/>
          <w:szCs w:val="32"/>
        </w:rPr>
      </w:pPr>
      <w:r w:rsidRPr="00116347">
        <w:rPr>
          <w:rFonts w:ascii="仿宋_GB2312" w:eastAsia="仿宋_GB2312" w:hint="eastAsia"/>
          <w:color w:val="000000" w:themeColor="text1"/>
          <w:sz w:val="32"/>
          <w:szCs w:val="32"/>
        </w:rPr>
        <w:t>参考国内生鲜行业 “RFID 入库 + 智慧仓储系统” 的成熟应用经验，结合鱼生原料 “个体标识难（不同于预包装食品）” 的特点，采用 RFID 阅读器对 “批次包装” 进行扫描入库（如以 “塘 / 池” 为单位的周转箱贴 RFID 标签），确保库存数据采集的可行性与准确性。</w:t>
      </w:r>
    </w:p>
    <w:p w14:paraId="5EFC44C3" w14:textId="4272ED64" w:rsidR="0032312E" w:rsidRPr="00116347" w:rsidRDefault="0032312E" w:rsidP="0032312E">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hint="eastAsia"/>
          <w:b/>
          <w:bCs/>
          <w:color w:val="000000" w:themeColor="text1"/>
          <w:kern w:val="0"/>
          <w:sz w:val="32"/>
          <w:szCs w:val="32"/>
        </w:rPr>
      </w:pPr>
      <w:r w:rsidRPr="00116347">
        <w:rPr>
          <w:rFonts w:ascii="Times New Roman" w:eastAsia="楷体" w:hAnsi="Times New Roman" w:cs="Times New Roman" w:hint="eastAsia"/>
          <w:b/>
          <w:bCs/>
          <w:color w:val="000000" w:themeColor="text1"/>
          <w:kern w:val="0"/>
          <w:sz w:val="32"/>
          <w:szCs w:val="32"/>
        </w:rPr>
        <w:t>（</w:t>
      </w:r>
      <w:r>
        <w:rPr>
          <w:rFonts w:ascii="Times New Roman" w:eastAsia="楷体" w:hAnsi="Times New Roman" w:cs="Times New Roman" w:hint="eastAsia"/>
          <w:b/>
          <w:bCs/>
          <w:color w:val="000000" w:themeColor="text1"/>
          <w:kern w:val="0"/>
          <w:sz w:val="32"/>
          <w:szCs w:val="32"/>
        </w:rPr>
        <w:t>八</w:t>
      </w:r>
      <w:r w:rsidRPr="00116347">
        <w:rPr>
          <w:rFonts w:ascii="Times New Roman" w:eastAsia="楷体" w:hAnsi="Times New Roman" w:cs="Times New Roman" w:hint="eastAsia"/>
          <w:b/>
          <w:bCs/>
          <w:color w:val="000000" w:themeColor="text1"/>
          <w:kern w:val="0"/>
          <w:sz w:val="32"/>
          <w:szCs w:val="32"/>
        </w:rPr>
        <w:t>）</w:t>
      </w:r>
      <w:r>
        <w:rPr>
          <w:rFonts w:ascii="Times New Roman" w:eastAsia="楷体" w:hAnsi="Times New Roman" w:cs="Times New Roman" w:hint="eastAsia"/>
          <w:b/>
          <w:bCs/>
          <w:color w:val="000000" w:themeColor="text1"/>
          <w:kern w:val="0"/>
          <w:sz w:val="32"/>
          <w:szCs w:val="32"/>
        </w:rPr>
        <w:t>追溯</w:t>
      </w:r>
      <w:r>
        <w:rPr>
          <w:rFonts w:ascii="Times New Roman" w:eastAsia="楷体" w:hAnsi="Times New Roman" w:cs="Times New Roman"/>
          <w:b/>
          <w:bCs/>
          <w:color w:val="000000" w:themeColor="text1"/>
          <w:kern w:val="0"/>
          <w:sz w:val="32"/>
          <w:szCs w:val="32"/>
        </w:rPr>
        <w:t>与</w:t>
      </w:r>
      <w:r>
        <w:rPr>
          <w:rFonts w:ascii="Times New Roman" w:eastAsia="楷体" w:hAnsi="Times New Roman" w:cs="Times New Roman" w:hint="eastAsia"/>
          <w:b/>
          <w:bCs/>
          <w:color w:val="000000" w:themeColor="text1"/>
          <w:kern w:val="0"/>
          <w:sz w:val="32"/>
          <w:szCs w:val="32"/>
        </w:rPr>
        <w:t>召</w:t>
      </w:r>
      <w:r>
        <w:rPr>
          <w:rFonts w:ascii="Times New Roman" w:eastAsia="楷体" w:hAnsi="Times New Roman" w:cs="Times New Roman"/>
          <w:b/>
          <w:bCs/>
          <w:color w:val="000000" w:themeColor="text1"/>
          <w:kern w:val="0"/>
          <w:sz w:val="32"/>
          <w:szCs w:val="32"/>
        </w:rPr>
        <w:t>回</w:t>
      </w:r>
    </w:p>
    <w:p w14:paraId="26137406" w14:textId="1BEA37DF" w:rsidR="0032312E" w:rsidRPr="00483F16" w:rsidRDefault="0032312E" w:rsidP="00116347">
      <w:pPr>
        <w:spacing w:line="520" w:lineRule="exact"/>
        <w:ind w:firstLineChars="200" w:firstLine="640"/>
        <w:rPr>
          <w:rFonts w:ascii="仿宋_GB2312" w:eastAsia="仿宋_GB2312" w:hint="eastAsia"/>
          <w:color w:val="000000" w:themeColor="text1"/>
          <w:sz w:val="32"/>
          <w:szCs w:val="32"/>
        </w:rPr>
      </w:pPr>
      <w:r w:rsidRPr="0032312E">
        <w:rPr>
          <w:rFonts w:ascii="仿宋_GB2312" w:eastAsia="仿宋_GB2312" w:hint="eastAsia"/>
          <w:color w:val="000000" w:themeColor="text1"/>
          <w:sz w:val="32"/>
          <w:szCs w:val="32"/>
        </w:rPr>
        <w:t>遵循《中华人民共和国食品安全法》第六十三条 “食品生产经营者发现其生产经营的食品不符合食品安全标准或者有证据证明可能危害人体健康的，应当立即停止生产经营，召回已经上市销售的食品” 的规定，明确 “2 小时启动召回、48 小时完成下架” 的时限，确保法规要求在产业中落地。</w:t>
      </w:r>
    </w:p>
    <w:p w14:paraId="6C5FDB77" w14:textId="77777777" w:rsidR="006B65C5" w:rsidRPr="00A82992" w:rsidRDefault="005F5D38">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六、重大意见分歧的处理依据和结果</w:t>
      </w:r>
    </w:p>
    <w:p w14:paraId="347360FD"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本标准研制过程中无重大分歧意见。</w:t>
      </w:r>
    </w:p>
    <w:p w14:paraId="495C8E05" w14:textId="77777777" w:rsidR="006B65C5" w:rsidRPr="00A82992" w:rsidRDefault="005F5D38">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七、实施标准的措施</w:t>
      </w:r>
    </w:p>
    <w:p w14:paraId="7EC133EC"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（一）标准报批发布后，成立标准宣贯工作组</w:t>
      </w:r>
    </w:p>
    <w:p w14:paraId="54F1EA55"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5FB7939F"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（二）组织开展标准宣贯培训</w:t>
      </w:r>
    </w:p>
    <w:p w14:paraId="20A72550" w14:textId="52502BB5" w:rsidR="006B65C5" w:rsidRPr="00A82992" w:rsidRDefault="005F5D38">
      <w:pPr>
        <w:spacing w:line="520" w:lineRule="exact"/>
        <w:ind w:firstLineChars="200" w:firstLine="640"/>
        <w:rPr>
          <w:rFonts w:ascii="仿宋" w:eastAsia="仿宋" w:hAnsi="仿宋"/>
          <w:color w:val="000000" w:themeColor="text1"/>
          <w:sz w:val="32"/>
          <w:szCs w:val="32"/>
        </w:rPr>
      </w:pPr>
      <w:r w:rsidRPr="00A82992">
        <w:rPr>
          <w:rFonts w:ascii="仿宋_GB2312" w:eastAsia="仿宋_GB2312" w:hint="eastAsia"/>
          <w:color w:val="000000" w:themeColor="text1"/>
          <w:sz w:val="32"/>
          <w:szCs w:val="32"/>
        </w:rPr>
        <w:t>标准发布实施后，标准宣贯工作小组制作标准解读宣贯培训PPT课件和标准核心技术明白书，并按标准宣贯培训计划深入各</w:t>
      </w:r>
      <w:r w:rsidRPr="00A82992">
        <w:rPr>
          <w:rFonts w:ascii="仿宋_GB2312" w:eastAsia="仿宋_GB2312" w:hint="eastAsia"/>
          <w:color w:val="000000" w:themeColor="text1"/>
          <w:sz w:val="32"/>
          <w:szCs w:val="32"/>
        </w:rPr>
        <w:lastRenderedPageBreak/>
        <w:t>市县相关机构，对相关技术人员开展标准宣贯培训，对标准进行逐条解读，让相关技术人员掌握标准核心技术内容，助力标准实施落地，促进</w:t>
      </w:r>
      <w:r w:rsidR="000361D9">
        <w:rPr>
          <w:rFonts w:ascii="仿宋_GB2312" w:eastAsia="仿宋_GB2312" w:hint="eastAsia"/>
          <w:color w:val="000000" w:themeColor="text1"/>
          <w:sz w:val="32"/>
          <w:szCs w:val="32"/>
        </w:rPr>
        <w:t>横县鱼生产业</w:t>
      </w:r>
      <w:r w:rsidR="00151F7B">
        <w:rPr>
          <w:rFonts w:ascii="仿宋_GB2312" w:eastAsia="仿宋_GB2312" w:hint="eastAsia"/>
          <w:color w:val="000000" w:themeColor="text1"/>
          <w:sz w:val="32"/>
          <w:szCs w:val="32"/>
        </w:rPr>
        <w:t>高质量</w:t>
      </w:r>
      <w:r w:rsidRPr="00A82992">
        <w:rPr>
          <w:rFonts w:ascii="仿宋_GB2312" w:eastAsia="仿宋_GB2312" w:hint="eastAsia"/>
          <w:color w:val="000000" w:themeColor="text1"/>
          <w:sz w:val="32"/>
          <w:szCs w:val="32"/>
        </w:rPr>
        <w:t>发展。</w:t>
      </w:r>
    </w:p>
    <w:p w14:paraId="474F2CC7"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（三）开展标准实施交流会，收集标准实施反馈信息</w:t>
      </w:r>
    </w:p>
    <w:p w14:paraId="4375A968" w14:textId="09682098"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标准起草小组深入各市县相关</w:t>
      </w:r>
      <w:r w:rsidR="000361D9">
        <w:rPr>
          <w:rFonts w:ascii="仿宋_GB2312" w:eastAsia="仿宋_GB2312" w:hint="eastAsia"/>
          <w:color w:val="000000" w:themeColor="text1"/>
          <w:sz w:val="32"/>
          <w:szCs w:val="32"/>
        </w:rPr>
        <w:t>鱼生</w:t>
      </w:r>
      <w:r w:rsidR="000361D9">
        <w:rPr>
          <w:rFonts w:ascii="仿宋_GB2312" w:eastAsia="仿宋_GB2312"/>
          <w:color w:val="000000" w:themeColor="text1"/>
          <w:sz w:val="32"/>
          <w:szCs w:val="32"/>
        </w:rPr>
        <w:t>专用鱼养殖基地</w:t>
      </w:r>
      <w:r w:rsidR="000361D9">
        <w:rPr>
          <w:rFonts w:ascii="仿宋_GB2312" w:eastAsia="仿宋_GB2312" w:hint="eastAsia"/>
          <w:color w:val="000000" w:themeColor="text1"/>
          <w:sz w:val="32"/>
          <w:szCs w:val="32"/>
        </w:rPr>
        <w:t>、鱼生餐饮店</w:t>
      </w:r>
      <w:r w:rsidRPr="00A82992">
        <w:rPr>
          <w:rFonts w:ascii="仿宋_GB2312" w:eastAsia="仿宋_GB2312" w:hint="eastAsia"/>
          <w:color w:val="000000" w:themeColor="text1"/>
          <w:sz w:val="32"/>
          <w:szCs w:val="32"/>
        </w:rPr>
        <w:t>技术人员召开标准实施交流会，听取标准实施过程中存在的问题并做好记录和解答，对存在的问题组织专家团队进行研讨，为标准的复审修订做准备。</w:t>
      </w:r>
    </w:p>
    <w:p w14:paraId="13F0CFD4" w14:textId="77777777" w:rsidR="006B65C5" w:rsidRPr="00A82992" w:rsidRDefault="005F5D38">
      <w:pPr>
        <w:tabs>
          <w:tab w:val="center" w:pos="4201"/>
          <w:tab w:val="right" w:leader="dot" w:pos="9298"/>
        </w:tabs>
        <w:autoSpaceDE w:val="0"/>
        <w:autoSpaceDN w:val="0"/>
        <w:spacing w:line="560" w:lineRule="exact"/>
        <w:ind w:firstLineChars="200" w:firstLine="643"/>
        <w:outlineLvl w:val="1"/>
        <w:rPr>
          <w:rFonts w:ascii="Times New Roman" w:eastAsia="楷体" w:hAnsi="Times New Roman" w:cs="Times New Roman"/>
          <w:b/>
          <w:bCs/>
          <w:color w:val="000000" w:themeColor="text1"/>
          <w:kern w:val="0"/>
          <w:sz w:val="32"/>
          <w:szCs w:val="32"/>
        </w:rPr>
      </w:pPr>
      <w:r w:rsidRPr="00A82992">
        <w:rPr>
          <w:rFonts w:ascii="Times New Roman" w:eastAsia="楷体" w:hAnsi="Times New Roman" w:cs="Times New Roman" w:hint="eastAsia"/>
          <w:b/>
          <w:bCs/>
          <w:color w:val="000000" w:themeColor="text1"/>
          <w:kern w:val="0"/>
          <w:sz w:val="32"/>
          <w:szCs w:val="32"/>
        </w:rPr>
        <w:t>（四）开展标准实施效果评估</w:t>
      </w:r>
    </w:p>
    <w:p w14:paraId="1861B1B7"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标准实施满2年，每年标准宣贯工作组采取网络调查、问卷调查、实地调研、召开座谈会或论证会、专家咨询等方式开展标准实施效果评估，并形成标准实施效果评估报告，为标准的复审修订做准备。</w:t>
      </w:r>
    </w:p>
    <w:p w14:paraId="76EB67B5" w14:textId="77777777" w:rsidR="006B65C5" w:rsidRPr="00A82992" w:rsidRDefault="005F5D38">
      <w:pPr>
        <w:autoSpaceDE w:val="0"/>
        <w:autoSpaceDN w:val="0"/>
        <w:adjustRightInd w:val="0"/>
        <w:spacing w:line="560" w:lineRule="exact"/>
        <w:ind w:firstLineChars="200" w:firstLine="640"/>
        <w:outlineLvl w:val="0"/>
        <w:rPr>
          <w:rFonts w:ascii="Times New Roman" w:eastAsia="黑体" w:hAnsi="Times New Roman" w:cs="Times New Roman"/>
          <w:color w:val="000000" w:themeColor="text1"/>
          <w:sz w:val="32"/>
          <w:szCs w:val="32"/>
        </w:rPr>
      </w:pPr>
      <w:r w:rsidRPr="00A82992">
        <w:rPr>
          <w:rFonts w:ascii="Times New Roman" w:eastAsia="黑体" w:hAnsi="Times New Roman" w:cs="Times New Roman" w:hint="eastAsia"/>
          <w:color w:val="000000" w:themeColor="text1"/>
          <w:sz w:val="32"/>
          <w:szCs w:val="32"/>
        </w:rPr>
        <w:t>八、其他应当说明的事项</w:t>
      </w:r>
    </w:p>
    <w:p w14:paraId="3FF68DBB"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无。</w:t>
      </w:r>
    </w:p>
    <w:p w14:paraId="70A805E3" w14:textId="77777777" w:rsidR="006B65C5" w:rsidRPr="00A82992" w:rsidRDefault="006B65C5">
      <w:pPr>
        <w:pStyle w:val="-1"/>
        <w:rPr>
          <w:rFonts w:ascii="仿宋_GB2312" w:eastAsia="仿宋_GB2312" w:cs="Calibri"/>
          <w:color w:val="000000" w:themeColor="text1"/>
          <w:sz w:val="32"/>
          <w:szCs w:val="32"/>
        </w:rPr>
      </w:pPr>
    </w:p>
    <w:p w14:paraId="78F6D630" w14:textId="77777777" w:rsidR="006B65C5" w:rsidRPr="00A82992" w:rsidRDefault="006B65C5">
      <w:pPr>
        <w:pStyle w:val="-1"/>
        <w:rPr>
          <w:rFonts w:ascii="仿宋_GB2312" w:eastAsia="仿宋_GB2312"/>
          <w:color w:val="000000" w:themeColor="text1"/>
          <w:sz w:val="28"/>
          <w:szCs w:val="28"/>
        </w:rPr>
      </w:pPr>
    </w:p>
    <w:p w14:paraId="3083F20A" w14:textId="77777777" w:rsidR="006B65C5" w:rsidRPr="00A82992" w:rsidRDefault="006B65C5">
      <w:pPr>
        <w:pStyle w:val="-1"/>
        <w:rPr>
          <w:rFonts w:ascii="仿宋_GB2312" w:eastAsia="仿宋_GB2312"/>
          <w:color w:val="000000" w:themeColor="text1"/>
          <w:sz w:val="28"/>
          <w:szCs w:val="28"/>
        </w:rPr>
      </w:pPr>
    </w:p>
    <w:p w14:paraId="7F536FA9" w14:textId="77777777" w:rsidR="000361D9" w:rsidRDefault="005F5D38">
      <w:pPr>
        <w:spacing w:line="520" w:lineRule="exact"/>
        <w:ind w:firstLineChars="200" w:firstLine="640"/>
        <w:jc w:val="right"/>
        <w:rPr>
          <w:rFonts w:ascii="仿宋_GB2312" w:eastAsia="仿宋_GB2312"/>
          <w:color w:val="000000" w:themeColor="text1"/>
          <w:sz w:val="32"/>
          <w:szCs w:val="32"/>
        </w:rPr>
      </w:pPr>
      <w:r w:rsidRPr="00A82992">
        <w:rPr>
          <w:rFonts w:ascii="仿宋_GB2312" w:eastAsia="仿宋_GB2312" w:hint="eastAsia"/>
          <w:color w:val="000000" w:themeColor="text1"/>
          <w:sz w:val="32"/>
          <w:szCs w:val="32"/>
        </w:rPr>
        <w:t>团体标准《</w:t>
      </w:r>
      <w:r w:rsidR="005A39CB">
        <w:rPr>
          <w:rFonts w:ascii="仿宋_GB2312" w:eastAsia="仿宋_GB2312" w:hint="eastAsia"/>
          <w:color w:val="000000" w:themeColor="text1"/>
          <w:sz w:val="32"/>
          <w:szCs w:val="32"/>
        </w:rPr>
        <w:t xml:space="preserve">横县鱼生全链条管理规范  </w:t>
      </w:r>
    </w:p>
    <w:p w14:paraId="50E93430" w14:textId="52DCE53E" w:rsidR="006B65C5" w:rsidRPr="00A82992" w:rsidRDefault="005A39CB">
      <w:pPr>
        <w:spacing w:line="520" w:lineRule="exact"/>
        <w:ind w:firstLineChars="200" w:firstLine="640"/>
        <w:jc w:val="right"/>
        <w:rPr>
          <w:rFonts w:ascii="仿宋_GB2312" w:eastAsia="仿宋_GB2312"/>
          <w:color w:val="000000" w:themeColor="text1"/>
          <w:sz w:val="32"/>
          <w:szCs w:val="32"/>
        </w:rPr>
      </w:pPr>
      <w:r>
        <w:rPr>
          <w:rFonts w:ascii="仿宋_GB2312" w:eastAsia="仿宋_GB2312" w:hint="eastAsia"/>
          <w:color w:val="000000" w:themeColor="text1"/>
          <w:sz w:val="32"/>
          <w:szCs w:val="32"/>
        </w:rPr>
        <w:t>第5部分：供应链管理</w:t>
      </w:r>
      <w:r w:rsidR="005F5D38" w:rsidRPr="00A82992">
        <w:rPr>
          <w:rFonts w:ascii="仿宋_GB2312" w:eastAsia="仿宋_GB2312" w:hint="eastAsia"/>
          <w:color w:val="000000" w:themeColor="text1"/>
          <w:sz w:val="32"/>
          <w:szCs w:val="32"/>
        </w:rPr>
        <w:t>》</w:t>
      </w:r>
    </w:p>
    <w:p w14:paraId="1D83E504" w14:textId="77777777"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 w:eastAsia="仿宋" w:hAnsi="仿宋" w:hint="eastAsia"/>
          <w:color w:val="000000" w:themeColor="text1"/>
          <w:sz w:val="32"/>
          <w:szCs w:val="32"/>
        </w:rPr>
        <w:t xml:space="preserve">                             </w:t>
      </w:r>
      <w:r w:rsidRPr="00A82992">
        <w:rPr>
          <w:rFonts w:ascii="仿宋_GB2312" w:eastAsia="仿宋_GB2312" w:hint="eastAsia"/>
          <w:color w:val="000000" w:themeColor="text1"/>
          <w:sz w:val="32"/>
          <w:szCs w:val="32"/>
        </w:rPr>
        <w:t>标准编制工作组</w:t>
      </w:r>
    </w:p>
    <w:p w14:paraId="67F57A2E" w14:textId="6414F878" w:rsidR="006B65C5" w:rsidRPr="00A82992" w:rsidRDefault="005F5D38">
      <w:pPr>
        <w:spacing w:line="520" w:lineRule="exact"/>
        <w:ind w:firstLineChars="200" w:firstLine="640"/>
        <w:rPr>
          <w:rFonts w:ascii="仿宋_GB2312" w:eastAsia="仿宋_GB2312"/>
          <w:color w:val="000000" w:themeColor="text1"/>
          <w:sz w:val="32"/>
          <w:szCs w:val="32"/>
        </w:rPr>
      </w:pPr>
      <w:r w:rsidRPr="00A82992">
        <w:rPr>
          <w:rFonts w:ascii="仿宋" w:eastAsia="仿宋" w:hAnsi="仿宋" w:hint="eastAsia"/>
          <w:color w:val="000000" w:themeColor="text1"/>
          <w:sz w:val="32"/>
          <w:szCs w:val="32"/>
        </w:rPr>
        <w:t xml:space="preserve">                             </w:t>
      </w:r>
      <w:r w:rsidRPr="00A82992">
        <w:rPr>
          <w:rFonts w:ascii="仿宋_GB2312" w:eastAsia="仿宋_GB2312" w:hint="eastAsia"/>
          <w:color w:val="000000" w:themeColor="text1"/>
          <w:sz w:val="32"/>
          <w:szCs w:val="32"/>
        </w:rPr>
        <w:t>202</w:t>
      </w:r>
      <w:r w:rsidRPr="00A82992">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年</w:t>
      </w:r>
      <w:r w:rsidR="0032312E">
        <w:rPr>
          <w:rFonts w:ascii="仿宋_GB2312" w:eastAsia="仿宋_GB2312"/>
          <w:color w:val="000000" w:themeColor="text1"/>
          <w:sz w:val="32"/>
          <w:szCs w:val="32"/>
        </w:rPr>
        <w:t>9</w:t>
      </w:r>
      <w:r w:rsidRPr="00A82992">
        <w:rPr>
          <w:rFonts w:ascii="仿宋_GB2312" w:eastAsia="仿宋_GB2312" w:hint="eastAsia"/>
          <w:color w:val="000000" w:themeColor="text1"/>
          <w:sz w:val="32"/>
          <w:szCs w:val="32"/>
        </w:rPr>
        <w:t>月</w:t>
      </w:r>
      <w:r w:rsidR="0032312E">
        <w:rPr>
          <w:rFonts w:ascii="仿宋_GB2312" w:eastAsia="仿宋_GB2312"/>
          <w:color w:val="000000" w:themeColor="text1"/>
          <w:sz w:val="32"/>
          <w:szCs w:val="32"/>
        </w:rPr>
        <w:t>5</w:t>
      </w:r>
      <w:r w:rsidRPr="00A82992">
        <w:rPr>
          <w:rFonts w:ascii="仿宋_GB2312" w:eastAsia="仿宋_GB2312" w:hint="eastAsia"/>
          <w:color w:val="000000" w:themeColor="text1"/>
          <w:sz w:val="32"/>
          <w:szCs w:val="32"/>
        </w:rPr>
        <w:t>日</w:t>
      </w:r>
    </w:p>
    <w:sectPr w:rsidR="006B65C5" w:rsidRPr="00A82992">
      <w:footerReference w:type="default" r:id="rId12"/>
      <w:pgSz w:w="11906" w:h="16838"/>
      <w:pgMar w:top="1474" w:right="1474" w:bottom="1474" w:left="147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3DD4A" w14:textId="77777777" w:rsidR="00233258" w:rsidRDefault="00233258">
      <w:r>
        <w:separator/>
      </w:r>
    </w:p>
  </w:endnote>
  <w:endnote w:type="continuationSeparator" w:id="0">
    <w:p w14:paraId="757A1873" w14:textId="77777777" w:rsidR="00233258" w:rsidRDefault="0023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30306E97-D301-43CF-99E5-0686C8C7C464}"/>
  </w:font>
  <w:font w:name="Calibri">
    <w:panose1 w:val="020F0502020204030204"/>
    <w:charset w:val="00"/>
    <w:family w:val="swiss"/>
    <w:pitch w:val="variable"/>
    <w:sig w:usb0="E00002FF" w:usb1="4000ACFF" w:usb2="00000001" w:usb3="00000000" w:csb0="0000019F" w:csb1="00000000"/>
    <w:embedRegular r:id="rId2" w:subsetted="1" w:fontKey="{AC1426D0-0EF6-4E12-9C5F-0D2B32B872CB}"/>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embedRegular r:id="rId3" w:subsetted="1" w:fontKey="{22927AAA-8CD4-4470-8843-878C4E2B65B8}"/>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4" w:subsetted="1" w:fontKey="{B03D2B39-FC47-46E0-8EDC-B8F53C36CDA5}"/>
    <w:embedBold r:id="rId5" w:subsetted="1" w:fontKey="{D8CF2B9E-947B-49DD-A99E-3D86A06349DF}"/>
  </w:font>
  <w:font w:name="楷体">
    <w:panose1 w:val="02010609060101010101"/>
    <w:charset w:val="86"/>
    <w:family w:val="modern"/>
    <w:pitch w:val="fixed"/>
    <w:sig w:usb0="800002BF" w:usb1="38CF7CFA" w:usb2="00000016" w:usb3="00000000" w:csb0="00040001" w:csb1="00000000"/>
    <w:embedBold r:id="rId6" w:subsetted="1" w:fontKey="{185A30B0-787A-49F6-81F0-DA033871A275}"/>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73D37" w14:textId="77777777" w:rsidR="006B65C5" w:rsidRDefault="005F5D38">
    <w:pPr>
      <w:pStyle w:val="af8"/>
      <w:ind w:firstLine="378"/>
    </w:pPr>
    <w:r>
      <w:rPr>
        <w:noProof/>
      </w:rPr>
      <mc:AlternateContent>
        <mc:Choice Requires="wps">
          <w:drawing>
            <wp:anchor distT="0" distB="0" distL="114300" distR="114300" simplePos="0" relativeHeight="251659264" behindDoc="0" locked="0" layoutInCell="1" allowOverlap="1" wp14:anchorId="12DDB59F" wp14:editId="5E8D4730">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6CF0DFA4" w14:textId="0BCD1861" w:rsidR="006B65C5" w:rsidRDefault="005F5D38">
                          <w:pPr>
                            <w:pStyle w:val="af8"/>
                            <w:rPr>
                              <w:rFonts w:ascii="宋体" w:hAnsi="宋体"/>
                              <w:sz w:val="22"/>
                            </w:rPr>
                          </w:pPr>
                          <w:r>
                            <w:rPr>
                              <w:rFonts w:ascii="宋体" w:hAnsi="宋体" w:hint="eastAsia"/>
                              <w:sz w:val="22"/>
                            </w:rPr>
                            <w:fldChar w:fldCharType="begin"/>
                          </w:r>
                          <w:r>
                            <w:rPr>
                              <w:rFonts w:ascii="宋体" w:hAnsi="宋体" w:hint="eastAsia"/>
                              <w:sz w:val="22"/>
                            </w:rPr>
                            <w:instrText xml:space="preserve"> PAGE  \* MERGEFORMAT </w:instrText>
                          </w:r>
                          <w:r>
                            <w:rPr>
                              <w:rFonts w:ascii="宋体" w:hAnsi="宋体" w:hint="eastAsia"/>
                              <w:sz w:val="22"/>
                            </w:rPr>
                            <w:fldChar w:fldCharType="separate"/>
                          </w:r>
                          <w:r w:rsidR="006D10D8">
                            <w:rPr>
                              <w:rFonts w:ascii="宋体" w:hAnsi="宋体"/>
                              <w:noProof/>
                              <w:sz w:val="22"/>
                            </w:rPr>
                            <w:t>9</w:t>
                          </w:r>
                          <w:r>
                            <w:rPr>
                              <w:rFonts w:ascii="宋体" w:hAnsi="宋体" w:hint="eastAsia"/>
                              <w:sz w:val="22"/>
                            </w:rPr>
                            <w:fldChar w:fldCharType="end"/>
                          </w:r>
                        </w:p>
                      </w:txbxContent>
                    </wps:txbx>
                    <wps:bodyPr wrap="none" lIns="0" tIns="0" rIns="0" bIns="0" upright="1">
                      <a:spAutoFit/>
                    </wps:bodyPr>
                  </wps:wsp>
                </a:graphicData>
              </a:graphic>
            </wp:anchor>
          </w:drawing>
        </mc:Choice>
        <mc:Fallback>
          <w:pict>
            <v:shapetype w14:anchorId="12DDB59F" id="_x0000_t202" coordsize="21600,21600" o:spt="202" path="m,l,21600r21600,l21600,xe">
              <v:stroke joinstyle="miter"/>
              <v:path gradientshapeok="t" o:connecttype="rect"/>
            </v:shapetype>
            <v:shape id="文本框 1" o:spid="_x0000_s1026" type="#_x0000_t202" style="position:absolute;left:0;text-align:left;margin-left:0;margin-top:0;width:4.4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" filled="f" stroked="f" strokeweight=".5pt">
              <v:textbox style="mso-fit-shape-to-text:t" inset="0,0,0,0">
                <w:txbxContent>
                  <w:p w14:paraId="6CF0DFA4" w14:textId="0BCD1861" w:rsidR="006B65C5" w:rsidRDefault="005F5D38">
                    <w:pPr>
                      <w:pStyle w:val="af8"/>
                      <w:rPr>
                        <w:rFonts w:ascii="宋体" w:hAnsi="宋体"/>
                        <w:sz w:val="22"/>
                      </w:rPr>
                    </w:pPr>
                    <w:r>
                      <w:rPr>
                        <w:rFonts w:ascii="宋体" w:hAnsi="宋体" w:hint="eastAsia"/>
                        <w:sz w:val="22"/>
                      </w:rPr>
                      <w:fldChar w:fldCharType="begin"/>
                    </w:r>
                    <w:r>
                      <w:rPr>
                        <w:rFonts w:ascii="宋体" w:hAnsi="宋体" w:hint="eastAsia"/>
                        <w:sz w:val="22"/>
                      </w:rPr>
                      <w:instrText xml:space="preserve"> PAGE  \* MERGEFORMAT </w:instrText>
                    </w:r>
                    <w:r>
                      <w:rPr>
                        <w:rFonts w:ascii="宋体" w:hAnsi="宋体" w:hint="eastAsia"/>
                        <w:sz w:val="22"/>
                      </w:rPr>
                      <w:fldChar w:fldCharType="separate"/>
                    </w:r>
                    <w:r w:rsidR="006D10D8">
                      <w:rPr>
                        <w:rFonts w:ascii="宋体" w:hAnsi="宋体"/>
                        <w:noProof/>
                        <w:sz w:val="22"/>
                      </w:rPr>
                      <w:t>9</w:t>
                    </w:r>
                    <w:r>
                      <w:rPr>
                        <w:rFonts w:ascii="宋体" w:hAnsi="宋体" w:hint="eastAsia"/>
                        <w:sz w:val="2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A899D" w14:textId="77777777" w:rsidR="00233258" w:rsidRDefault="00233258">
      <w:r>
        <w:separator/>
      </w:r>
    </w:p>
  </w:footnote>
  <w:footnote w:type="continuationSeparator" w:id="0">
    <w:p w14:paraId="3D9662F0" w14:textId="77777777" w:rsidR="00233258" w:rsidRDefault="00233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DF8329"/>
    <w:multiLevelType w:val="multilevel"/>
    <w:tmpl w:val="8DDF8329"/>
    <w:lvl w:ilvl="0">
      <w:start w:val="1"/>
      <w:numFmt w:val="decimal"/>
      <w:pStyle w:val="a"/>
      <w:suff w:val="nothing"/>
      <w:lvlText w:val="表%1　"/>
      <w:legacy w:legacy="1" w:legacySpace="0" w:legacyIndent="0"/>
      <w:lvlJc w:val="left"/>
      <w:pPr>
        <w:ind w:left="0" w:firstLine="0"/>
      </w:pPr>
    </w:lvl>
    <w:lvl w:ilvl="1">
      <w:start w:val="1"/>
      <w:numFmt w:val="decimal"/>
      <w:lvlText w:val="%1.%2"/>
      <w:legacy w:legacy="1" w:legacySpace="0" w:legacyIndent="567"/>
      <w:lvlJc w:val="left"/>
      <w:pPr>
        <w:ind w:left="992" w:hanging="567"/>
      </w:pPr>
    </w:lvl>
    <w:lvl w:ilvl="2">
      <w:start w:val="1"/>
      <w:numFmt w:val="decimal"/>
      <w:lvlText w:val="%1.%2.%3"/>
      <w:legacy w:legacy="1" w:legacySpace="0" w:legacyIndent="567"/>
      <w:lvlJc w:val="left"/>
      <w:pPr>
        <w:ind w:left="1417" w:hanging="567"/>
      </w:pPr>
    </w:lvl>
    <w:lvl w:ilvl="3">
      <w:start w:val="1"/>
      <w:numFmt w:val="decimal"/>
      <w:lvlText w:val="%1.%2.%3.%4"/>
      <w:legacy w:legacy="1" w:legacySpace="0" w:legacyIndent="708"/>
      <w:lvlJc w:val="left"/>
      <w:pPr>
        <w:ind w:left="1984" w:hanging="708"/>
      </w:pPr>
    </w:lvl>
    <w:lvl w:ilvl="4">
      <w:start w:val="1"/>
      <w:numFmt w:val="decimal"/>
      <w:lvlText w:val="%1.%2.%3.%4.%5"/>
      <w:legacy w:legacy="1" w:legacySpace="0" w:legacyIndent="850"/>
      <w:lvlJc w:val="left"/>
      <w:pPr>
        <w:ind w:left="2551" w:hanging="850"/>
      </w:pPr>
    </w:lvl>
    <w:lvl w:ilvl="5">
      <w:start w:val="1"/>
      <w:numFmt w:val="decimal"/>
      <w:lvlText w:val="%1.%2.%3.%4.%5.%6"/>
      <w:legacy w:legacy="1" w:legacySpace="0" w:legacyIndent="1134"/>
      <w:lvlJc w:val="left"/>
      <w:pPr>
        <w:ind w:left="3260" w:hanging="1134"/>
      </w:pPr>
    </w:lvl>
    <w:lvl w:ilvl="6">
      <w:start w:val="1"/>
      <w:numFmt w:val="decimal"/>
      <w:lvlText w:val="%1.%2.%3.%4.%5.%6.%7"/>
      <w:legacy w:legacy="1" w:legacySpace="0" w:legacyIndent="1276"/>
      <w:lvlJc w:val="left"/>
      <w:pPr>
        <w:ind w:left="3827" w:hanging="1276"/>
      </w:pPr>
    </w:lvl>
    <w:lvl w:ilvl="7">
      <w:start w:val="1"/>
      <w:numFmt w:val="decimal"/>
      <w:lvlText w:val="%1.%2.%3.%4.%5.%6.%7.%8"/>
      <w:legacy w:legacy="1" w:legacySpace="0" w:legacyIndent="1418"/>
      <w:lvlJc w:val="left"/>
      <w:pPr>
        <w:ind w:left="4394" w:hanging="1418"/>
      </w:pPr>
    </w:lvl>
    <w:lvl w:ilvl="8">
      <w:start w:val="1"/>
      <w:numFmt w:val="decimal"/>
      <w:lvlText w:val="%1.%2.%3.%4.%5.%6.%7.%8.%9"/>
      <w:legacy w:legacy="1" w:legacySpace="0" w:legacyIndent="1700"/>
      <w:lvlJc w:val="left"/>
      <w:pPr>
        <w:ind w:left="5102" w:hanging="1700"/>
      </w:pPr>
    </w:lvl>
  </w:abstractNum>
  <w:abstractNum w:abstractNumId="1" w15:restartNumberingAfterBreak="0">
    <w:nsid w:val="0BDC1670"/>
    <w:multiLevelType w:val="multilevel"/>
    <w:tmpl w:val="0BDC1670"/>
    <w:lvl w:ilvl="0">
      <w:start w:val="1"/>
      <w:numFmt w:val="decimal"/>
      <w:pStyle w:val="a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C5917C3"/>
    <w:multiLevelType w:val="multilevel"/>
    <w:tmpl w:val="2C5917C3"/>
    <w:lvl w:ilvl="0">
      <w:start w:val="1"/>
      <w:numFmt w:val="none"/>
      <w:pStyle w:val="a1"/>
      <w:lvlText w:val="%1——"/>
      <w:lvlJc w:val="left"/>
      <w:pPr>
        <w:tabs>
          <w:tab w:val="left" w:pos="851"/>
        </w:tabs>
        <w:ind w:left="636" w:hanging="426"/>
      </w:pPr>
      <w:rPr>
        <w:rFonts w:ascii="宋体" w:eastAsia="宋体" w:hAnsi="Times New Roman" w:hint="eastAsia"/>
        <w:b w:val="0"/>
        <w:i w:val="0"/>
        <w:sz w:val="21"/>
      </w:rPr>
    </w:lvl>
    <w:lvl w:ilvl="1">
      <w:start w:val="1"/>
      <w:numFmt w:val="none"/>
      <w:lvlText w:val=""/>
      <w:lvlJc w:val="left"/>
      <w:pPr>
        <w:ind w:left="636" w:hanging="431"/>
      </w:pPr>
      <w:rPr>
        <w:rFonts w:ascii="Symbol" w:hAnsi="Symbol" w:hint="default"/>
        <w:sz w:val="21"/>
      </w:rPr>
    </w:lvl>
    <w:lvl w:ilvl="2">
      <w:start w:val="1"/>
      <w:numFmt w:val="bullet"/>
      <w:lvlText w:val=""/>
      <w:lvlJc w:val="left"/>
      <w:pPr>
        <w:ind w:left="636" w:hanging="426"/>
      </w:pPr>
      <w:rPr>
        <w:rFonts w:ascii="Wingdings" w:hAnsi="Wingdings" w:hint="default"/>
        <w:sz w:val="21"/>
      </w:rPr>
    </w:lvl>
    <w:lvl w:ilvl="3">
      <w:start w:val="1"/>
      <w:numFmt w:val="decimal"/>
      <w:lvlText w:val="%4."/>
      <w:lvlJc w:val="left"/>
      <w:pPr>
        <w:tabs>
          <w:tab w:val="left" w:pos="2071"/>
        </w:tabs>
        <w:ind w:left="1669" w:hanging="528"/>
      </w:pPr>
      <w:rPr>
        <w:rFonts w:hint="eastAsia"/>
      </w:rPr>
    </w:lvl>
    <w:lvl w:ilvl="4">
      <w:start w:val="1"/>
      <w:numFmt w:val="lowerLetter"/>
      <w:lvlText w:val="%5)"/>
      <w:lvlJc w:val="left"/>
      <w:pPr>
        <w:tabs>
          <w:tab w:val="left" w:pos="2383"/>
        </w:tabs>
        <w:ind w:left="1981" w:hanging="528"/>
      </w:pPr>
      <w:rPr>
        <w:rFonts w:hint="eastAsia"/>
      </w:rPr>
    </w:lvl>
    <w:lvl w:ilvl="5">
      <w:start w:val="1"/>
      <w:numFmt w:val="lowerRoman"/>
      <w:lvlText w:val="%6."/>
      <w:lvlJc w:val="right"/>
      <w:pPr>
        <w:tabs>
          <w:tab w:val="left" w:pos="2695"/>
        </w:tabs>
        <w:ind w:left="2293" w:hanging="528"/>
      </w:pPr>
      <w:rPr>
        <w:rFonts w:hint="eastAsia"/>
      </w:rPr>
    </w:lvl>
    <w:lvl w:ilvl="6">
      <w:start w:val="1"/>
      <w:numFmt w:val="decimal"/>
      <w:lvlText w:val="%7."/>
      <w:lvlJc w:val="left"/>
      <w:pPr>
        <w:tabs>
          <w:tab w:val="left" w:pos="3007"/>
        </w:tabs>
        <w:ind w:left="2605" w:hanging="528"/>
      </w:pPr>
      <w:rPr>
        <w:rFonts w:hint="eastAsia"/>
      </w:rPr>
    </w:lvl>
    <w:lvl w:ilvl="7">
      <w:start w:val="1"/>
      <w:numFmt w:val="lowerLetter"/>
      <w:lvlText w:val="%8)"/>
      <w:lvlJc w:val="left"/>
      <w:pPr>
        <w:tabs>
          <w:tab w:val="left" w:pos="3319"/>
        </w:tabs>
        <w:ind w:left="2917" w:hanging="528"/>
      </w:pPr>
      <w:rPr>
        <w:rFonts w:hint="eastAsia"/>
      </w:rPr>
    </w:lvl>
    <w:lvl w:ilvl="8">
      <w:start w:val="1"/>
      <w:numFmt w:val="lowerRoman"/>
      <w:lvlText w:val="%9."/>
      <w:lvlJc w:val="right"/>
      <w:pPr>
        <w:tabs>
          <w:tab w:val="left" w:pos="3631"/>
        </w:tabs>
        <w:ind w:left="3229" w:hanging="528"/>
      </w:pPr>
      <w:rPr>
        <w:rFonts w:hint="eastAsia"/>
      </w:rPr>
    </w:lvl>
  </w:abstractNum>
  <w:abstractNum w:abstractNumId="3" w15:restartNumberingAfterBreak="0">
    <w:nsid w:val="34124BC7"/>
    <w:multiLevelType w:val="hybridMultilevel"/>
    <w:tmpl w:val="AC2CA33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4C50F90"/>
    <w:multiLevelType w:val="multilevel"/>
    <w:tmpl w:val="44C50F90"/>
    <w:lvl w:ilvl="0">
      <w:start w:val="1"/>
      <w:numFmt w:val="lowerLetter"/>
      <w:pStyle w:val="a2"/>
      <w:lvlText w:val="%1)"/>
      <w:lvlJc w:val="left"/>
      <w:pPr>
        <w:tabs>
          <w:tab w:val="left" w:pos="851"/>
        </w:tabs>
        <w:ind w:left="851" w:hanging="426"/>
      </w:pPr>
      <w:rPr>
        <w:rFonts w:ascii="宋体" w:eastAsia="宋体" w:hAnsi="Times New Roman" w:hint="eastAsia"/>
        <w:sz w:val="21"/>
      </w:rPr>
    </w:lvl>
    <w:lvl w:ilvl="1">
      <w:start w:val="1"/>
      <w:numFmt w:val="decimal"/>
      <w:pStyle w:val="a3"/>
      <w:lvlText w:val="%2)"/>
      <w:lvlJc w:val="left"/>
      <w:pPr>
        <w:tabs>
          <w:tab w:val="left" w:pos="1276"/>
        </w:tabs>
        <w:ind w:left="1276" w:hanging="425"/>
      </w:pPr>
      <w:rPr>
        <w:rFonts w:ascii="宋体" w:eastAsia="宋体" w:hAnsi="Times New Roman" w:hint="eastAsia"/>
        <w:sz w:val="21"/>
      </w:rPr>
    </w:lvl>
    <w:lvl w:ilvl="2">
      <w:start w:val="1"/>
      <w:numFmt w:val="decimal"/>
      <w:pStyle w:val="a4"/>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15:restartNumberingAfterBreak="0">
    <w:nsid w:val="5A9B6960"/>
    <w:multiLevelType w:val="multilevel"/>
    <w:tmpl w:val="5A9B6960"/>
    <w:lvl w:ilvl="0">
      <w:start w:val="1"/>
      <w:numFmt w:val="none"/>
      <w:pStyle w:val="a5"/>
      <w:suff w:val="nothing"/>
      <w:lvlText w:val="%1"/>
      <w:legacy w:legacy="1" w:legacySpace="0" w:legacyIndent="0"/>
      <w:lvlJc w:val="left"/>
      <w:pPr>
        <w:ind w:left="0" w:firstLine="0"/>
      </w:pPr>
      <w:rPr>
        <w:rFonts w:hint="eastAsia"/>
      </w:rPr>
    </w:lvl>
    <w:lvl w:ilvl="1">
      <w:start w:val="1"/>
      <w:numFmt w:val="decimal"/>
      <w:pStyle w:val="a6"/>
      <w:suff w:val="nothing"/>
      <w:lvlText w:val="%1%2　"/>
      <w:legacy w:legacy="1" w:legacySpace="0" w:legacyIndent="0"/>
      <w:lvlJc w:val="left"/>
      <w:pPr>
        <w:ind w:left="0" w:firstLine="0"/>
      </w:pPr>
      <w:rPr>
        <w:rFonts w:ascii="黑体" w:eastAsia="黑体" w:hAnsi="黑体" w:hint="eastAsia"/>
        <w:b w:val="0"/>
        <w:i w:val="0"/>
        <w:sz w:val="21"/>
      </w:rPr>
    </w:lvl>
    <w:lvl w:ilvl="2">
      <w:start w:val="1"/>
      <w:numFmt w:val="decimal"/>
      <w:pStyle w:val="a7"/>
      <w:suff w:val="nothing"/>
      <w:lvlText w:val="%1%2.%3　"/>
      <w:legacy w:legacy="1" w:legacySpace="0" w:legacyIndent="0"/>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egacy w:legacy="1" w:legacySpace="0" w:legacyIndent="0"/>
      <w:lvlJc w:val="left"/>
      <w:pPr>
        <w:ind w:left="0" w:firstLine="0"/>
      </w:pPr>
      <w:rPr>
        <w:rFonts w:ascii="黑体" w:eastAsia="黑体" w:hAnsi="黑体" w:hint="eastAsia"/>
        <w:b w:val="0"/>
        <w:i w:val="0"/>
        <w:sz w:val="21"/>
      </w:rPr>
    </w:lvl>
    <w:lvl w:ilvl="4">
      <w:start w:val="1"/>
      <w:numFmt w:val="decimal"/>
      <w:pStyle w:val="a8"/>
      <w:suff w:val="nothing"/>
      <w:lvlText w:val="%1%2.%3.%4.%5　"/>
      <w:legacy w:legacy="1" w:legacySpace="0" w:legacyIndent="0"/>
      <w:lvlJc w:val="left"/>
      <w:pPr>
        <w:ind w:left="0" w:firstLine="0"/>
      </w:pPr>
      <w:rPr>
        <w:rFonts w:ascii="黑体" w:eastAsia="黑体" w:hAnsi="黑体" w:hint="eastAsia"/>
        <w:b w:val="0"/>
        <w:i w:val="0"/>
        <w:sz w:val="21"/>
      </w:rPr>
    </w:lvl>
    <w:lvl w:ilvl="5">
      <w:start w:val="1"/>
      <w:numFmt w:val="decimal"/>
      <w:pStyle w:val="a9"/>
      <w:suff w:val="nothing"/>
      <w:lvlText w:val="%1%2.%3.%4.%5.%6　"/>
      <w:legacy w:legacy="1" w:legacySpace="0" w:legacyIndent="0"/>
      <w:lvlJc w:val="left"/>
      <w:pPr>
        <w:ind w:left="0" w:firstLine="0"/>
      </w:pPr>
      <w:rPr>
        <w:rFonts w:ascii="黑体" w:eastAsia="黑体" w:hAnsi="黑体" w:hint="eastAsia"/>
        <w:b w:val="0"/>
        <w:i w:val="0"/>
        <w:sz w:val="21"/>
      </w:rPr>
    </w:lvl>
    <w:lvl w:ilvl="6">
      <w:start w:val="1"/>
      <w:numFmt w:val="decimal"/>
      <w:pStyle w:val="aa"/>
      <w:suff w:val="nothing"/>
      <w:lvlText w:val="%1%2.%3.%4.%5.%6.%7　"/>
      <w:legacy w:legacy="1" w:legacySpace="0" w:legacyIndent="0"/>
      <w:lvlJc w:val="left"/>
      <w:pPr>
        <w:ind w:left="0" w:firstLine="0"/>
      </w:pPr>
      <w:rPr>
        <w:rFonts w:ascii="黑体" w:eastAsia="黑体" w:hAnsi="黑体" w:hint="eastAsia"/>
        <w:b w:val="0"/>
        <w:i w:val="0"/>
        <w:sz w:val="21"/>
      </w:rPr>
    </w:lvl>
    <w:lvl w:ilvl="7">
      <w:start w:val="1"/>
      <w:numFmt w:val="decimal"/>
      <w:lvlText w:val="%1.%2.%3.%4.%5.%6.%7.%8"/>
      <w:legacy w:legacy="1" w:legacySpace="0" w:legacyIndent="1418"/>
      <w:lvlJc w:val="left"/>
      <w:pPr>
        <w:ind w:left="3969" w:hanging="1418"/>
      </w:pPr>
      <w:rPr>
        <w:rFonts w:hint="eastAsia"/>
      </w:rPr>
    </w:lvl>
    <w:lvl w:ilvl="8">
      <w:start w:val="1"/>
      <w:numFmt w:val="decimal"/>
      <w:lvlText w:val="%1.%2.%3.%4.%5.%6.%7.%8.%9"/>
      <w:legacy w:legacy="1" w:legacySpace="0" w:legacyIndent="1700"/>
      <w:lvlJc w:val="left"/>
      <w:pPr>
        <w:ind w:left="4677" w:hanging="1700"/>
      </w:pPr>
      <w:rPr>
        <w:rFonts w:hint="eastAsia"/>
      </w:rPr>
    </w:lvl>
  </w:abstractNum>
  <w:abstractNum w:abstractNumId="6"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5"/>
  </w:num>
  <w:num w:numId="2">
    <w:abstractNumId w:val="0"/>
  </w:num>
  <w:num w:numId="3">
    <w:abstractNumId w:val="4"/>
  </w:num>
  <w:num w:numId="4">
    <w:abstractNumId w:val="2"/>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Dc0ZjI4NzNlMjMwZWM0OGFmYTgxZDU4M2Y4NDAifQ=="/>
  </w:docVars>
  <w:rsids>
    <w:rsidRoot w:val="000D75AA"/>
    <w:rsid w:val="D9BF3AD6"/>
    <w:rsid w:val="E7FFD9D9"/>
    <w:rsid w:val="FB77A368"/>
    <w:rsid w:val="FF7FD2F3"/>
    <w:rsid w:val="00000831"/>
    <w:rsid w:val="000068A2"/>
    <w:rsid w:val="0000746F"/>
    <w:rsid w:val="00014983"/>
    <w:rsid w:val="000171F6"/>
    <w:rsid w:val="000178C8"/>
    <w:rsid w:val="00021A74"/>
    <w:rsid w:val="00021AEF"/>
    <w:rsid w:val="00022B48"/>
    <w:rsid w:val="00023CD6"/>
    <w:rsid w:val="00024C52"/>
    <w:rsid w:val="000361D9"/>
    <w:rsid w:val="00041142"/>
    <w:rsid w:val="00041CA7"/>
    <w:rsid w:val="00045E58"/>
    <w:rsid w:val="00051A80"/>
    <w:rsid w:val="00051C74"/>
    <w:rsid w:val="00051F5E"/>
    <w:rsid w:val="000540AB"/>
    <w:rsid w:val="00055442"/>
    <w:rsid w:val="0006459C"/>
    <w:rsid w:val="000709A1"/>
    <w:rsid w:val="00072103"/>
    <w:rsid w:val="00073058"/>
    <w:rsid w:val="000743B4"/>
    <w:rsid w:val="00075653"/>
    <w:rsid w:val="00076330"/>
    <w:rsid w:val="00082613"/>
    <w:rsid w:val="000836DC"/>
    <w:rsid w:val="00087B5A"/>
    <w:rsid w:val="00092E1F"/>
    <w:rsid w:val="000932A2"/>
    <w:rsid w:val="000940F9"/>
    <w:rsid w:val="00094B6B"/>
    <w:rsid w:val="000968C6"/>
    <w:rsid w:val="000969BE"/>
    <w:rsid w:val="000A36DD"/>
    <w:rsid w:val="000A42BB"/>
    <w:rsid w:val="000B2C81"/>
    <w:rsid w:val="000B2F3C"/>
    <w:rsid w:val="000B3320"/>
    <w:rsid w:val="000B3E65"/>
    <w:rsid w:val="000B6E76"/>
    <w:rsid w:val="000B748E"/>
    <w:rsid w:val="000C517B"/>
    <w:rsid w:val="000D211A"/>
    <w:rsid w:val="000D35F1"/>
    <w:rsid w:val="000D75AA"/>
    <w:rsid w:val="000D7F56"/>
    <w:rsid w:val="000E28E9"/>
    <w:rsid w:val="000E53EA"/>
    <w:rsid w:val="000F21F0"/>
    <w:rsid w:val="000F2861"/>
    <w:rsid w:val="000F3BB3"/>
    <w:rsid w:val="00102400"/>
    <w:rsid w:val="0010338D"/>
    <w:rsid w:val="00110AC2"/>
    <w:rsid w:val="001120A0"/>
    <w:rsid w:val="001121F0"/>
    <w:rsid w:val="001133E6"/>
    <w:rsid w:val="00116347"/>
    <w:rsid w:val="0012345E"/>
    <w:rsid w:val="00127E58"/>
    <w:rsid w:val="00132D8B"/>
    <w:rsid w:val="00133F3E"/>
    <w:rsid w:val="0013596D"/>
    <w:rsid w:val="001363BD"/>
    <w:rsid w:val="00136CB0"/>
    <w:rsid w:val="001414C7"/>
    <w:rsid w:val="00141D9D"/>
    <w:rsid w:val="00151F7B"/>
    <w:rsid w:val="00152CB3"/>
    <w:rsid w:val="00153A4E"/>
    <w:rsid w:val="001548F8"/>
    <w:rsid w:val="00160A77"/>
    <w:rsid w:val="00163FFE"/>
    <w:rsid w:val="001655CC"/>
    <w:rsid w:val="001748D4"/>
    <w:rsid w:val="00175140"/>
    <w:rsid w:val="0018012C"/>
    <w:rsid w:val="001821C9"/>
    <w:rsid w:val="00183018"/>
    <w:rsid w:val="00184D1A"/>
    <w:rsid w:val="00190E01"/>
    <w:rsid w:val="001928E9"/>
    <w:rsid w:val="00195660"/>
    <w:rsid w:val="001968C3"/>
    <w:rsid w:val="001A25BD"/>
    <w:rsid w:val="001A69C0"/>
    <w:rsid w:val="001A7570"/>
    <w:rsid w:val="001B0030"/>
    <w:rsid w:val="001B3580"/>
    <w:rsid w:val="001B6B04"/>
    <w:rsid w:val="001C21D4"/>
    <w:rsid w:val="001C4C8F"/>
    <w:rsid w:val="001C7DE8"/>
    <w:rsid w:val="001D0584"/>
    <w:rsid w:val="001D3156"/>
    <w:rsid w:val="001D4971"/>
    <w:rsid w:val="001E1206"/>
    <w:rsid w:val="001E29C4"/>
    <w:rsid w:val="001E2D73"/>
    <w:rsid w:val="001F1AA9"/>
    <w:rsid w:val="001F251A"/>
    <w:rsid w:val="001F4D35"/>
    <w:rsid w:val="0020127F"/>
    <w:rsid w:val="00205352"/>
    <w:rsid w:val="00205D69"/>
    <w:rsid w:val="00210FD3"/>
    <w:rsid w:val="00212227"/>
    <w:rsid w:val="00214EAB"/>
    <w:rsid w:val="002171A0"/>
    <w:rsid w:val="002209F0"/>
    <w:rsid w:val="002210B4"/>
    <w:rsid w:val="00221DEA"/>
    <w:rsid w:val="0022236C"/>
    <w:rsid w:val="00226607"/>
    <w:rsid w:val="00230E98"/>
    <w:rsid w:val="002324B6"/>
    <w:rsid w:val="00232E3B"/>
    <w:rsid w:val="00233258"/>
    <w:rsid w:val="0023437E"/>
    <w:rsid w:val="00234F7D"/>
    <w:rsid w:val="00236909"/>
    <w:rsid w:val="00236EB4"/>
    <w:rsid w:val="00241F8A"/>
    <w:rsid w:val="00242E52"/>
    <w:rsid w:val="00247ED2"/>
    <w:rsid w:val="0025373A"/>
    <w:rsid w:val="00253845"/>
    <w:rsid w:val="002546EF"/>
    <w:rsid w:val="0025676C"/>
    <w:rsid w:val="00262001"/>
    <w:rsid w:val="00263E80"/>
    <w:rsid w:val="00264265"/>
    <w:rsid w:val="00271E05"/>
    <w:rsid w:val="002747F5"/>
    <w:rsid w:val="00274B73"/>
    <w:rsid w:val="00280BDB"/>
    <w:rsid w:val="00281F39"/>
    <w:rsid w:val="0028500C"/>
    <w:rsid w:val="0028575C"/>
    <w:rsid w:val="002879F6"/>
    <w:rsid w:val="00292F73"/>
    <w:rsid w:val="0029554A"/>
    <w:rsid w:val="00297734"/>
    <w:rsid w:val="002A2DDC"/>
    <w:rsid w:val="002A3479"/>
    <w:rsid w:val="002B723D"/>
    <w:rsid w:val="002B7B10"/>
    <w:rsid w:val="002B7C92"/>
    <w:rsid w:val="002C176B"/>
    <w:rsid w:val="002C1D4E"/>
    <w:rsid w:val="002C3627"/>
    <w:rsid w:val="002C5F9C"/>
    <w:rsid w:val="002D18E3"/>
    <w:rsid w:val="002D2273"/>
    <w:rsid w:val="002D5597"/>
    <w:rsid w:val="002E1B63"/>
    <w:rsid w:val="002E357A"/>
    <w:rsid w:val="002E3B58"/>
    <w:rsid w:val="002E4234"/>
    <w:rsid w:val="002E5273"/>
    <w:rsid w:val="002F0D8E"/>
    <w:rsid w:val="002F4C45"/>
    <w:rsid w:val="002F5C0C"/>
    <w:rsid w:val="00302739"/>
    <w:rsid w:val="0030356D"/>
    <w:rsid w:val="00313329"/>
    <w:rsid w:val="00316588"/>
    <w:rsid w:val="00317091"/>
    <w:rsid w:val="00317530"/>
    <w:rsid w:val="00320CB4"/>
    <w:rsid w:val="00321E92"/>
    <w:rsid w:val="00322535"/>
    <w:rsid w:val="0032312E"/>
    <w:rsid w:val="003259AF"/>
    <w:rsid w:val="00325F9F"/>
    <w:rsid w:val="003306DD"/>
    <w:rsid w:val="00330A4E"/>
    <w:rsid w:val="00332242"/>
    <w:rsid w:val="003332BA"/>
    <w:rsid w:val="00340D9B"/>
    <w:rsid w:val="00340FDE"/>
    <w:rsid w:val="003460F3"/>
    <w:rsid w:val="00346534"/>
    <w:rsid w:val="00347BB4"/>
    <w:rsid w:val="003517E7"/>
    <w:rsid w:val="00357BDF"/>
    <w:rsid w:val="00360BAF"/>
    <w:rsid w:val="00361296"/>
    <w:rsid w:val="00361596"/>
    <w:rsid w:val="00362C01"/>
    <w:rsid w:val="0036450F"/>
    <w:rsid w:val="00366228"/>
    <w:rsid w:val="00367D5E"/>
    <w:rsid w:val="00370812"/>
    <w:rsid w:val="00371B5F"/>
    <w:rsid w:val="00372E66"/>
    <w:rsid w:val="00373160"/>
    <w:rsid w:val="00373401"/>
    <w:rsid w:val="00375933"/>
    <w:rsid w:val="0037633C"/>
    <w:rsid w:val="00377A1C"/>
    <w:rsid w:val="00382E35"/>
    <w:rsid w:val="00384168"/>
    <w:rsid w:val="003872E4"/>
    <w:rsid w:val="00390AD8"/>
    <w:rsid w:val="00390C14"/>
    <w:rsid w:val="003920A4"/>
    <w:rsid w:val="00393447"/>
    <w:rsid w:val="00396F2C"/>
    <w:rsid w:val="003A3F27"/>
    <w:rsid w:val="003A5862"/>
    <w:rsid w:val="003A587F"/>
    <w:rsid w:val="003B0042"/>
    <w:rsid w:val="003B45A7"/>
    <w:rsid w:val="003B4F42"/>
    <w:rsid w:val="003B4FCF"/>
    <w:rsid w:val="003B5B72"/>
    <w:rsid w:val="003C0E61"/>
    <w:rsid w:val="003C7382"/>
    <w:rsid w:val="003D1B3B"/>
    <w:rsid w:val="003D2335"/>
    <w:rsid w:val="003D483D"/>
    <w:rsid w:val="003D485E"/>
    <w:rsid w:val="003E080C"/>
    <w:rsid w:val="003E3BA3"/>
    <w:rsid w:val="003F1D97"/>
    <w:rsid w:val="003F3EB2"/>
    <w:rsid w:val="00400A69"/>
    <w:rsid w:val="00405301"/>
    <w:rsid w:val="00406CA3"/>
    <w:rsid w:val="00411EFB"/>
    <w:rsid w:val="00414767"/>
    <w:rsid w:val="00415B0D"/>
    <w:rsid w:val="00417593"/>
    <w:rsid w:val="00422CC8"/>
    <w:rsid w:val="0042686B"/>
    <w:rsid w:val="00426DC5"/>
    <w:rsid w:val="00427399"/>
    <w:rsid w:val="00430411"/>
    <w:rsid w:val="004314F4"/>
    <w:rsid w:val="00432DC4"/>
    <w:rsid w:val="00433D00"/>
    <w:rsid w:val="004348F7"/>
    <w:rsid w:val="00436198"/>
    <w:rsid w:val="004373E9"/>
    <w:rsid w:val="0044036C"/>
    <w:rsid w:val="0044065E"/>
    <w:rsid w:val="00444679"/>
    <w:rsid w:val="004458BB"/>
    <w:rsid w:val="00445A19"/>
    <w:rsid w:val="00446351"/>
    <w:rsid w:val="0045095B"/>
    <w:rsid w:val="004526B7"/>
    <w:rsid w:val="00453B5B"/>
    <w:rsid w:val="00455701"/>
    <w:rsid w:val="00461AA3"/>
    <w:rsid w:val="00462FF9"/>
    <w:rsid w:val="00471CEC"/>
    <w:rsid w:val="00473D8F"/>
    <w:rsid w:val="004805DB"/>
    <w:rsid w:val="00480B2B"/>
    <w:rsid w:val="00481E78"/>
    <w:rsid w:val="004828E9"/>
    <w:rsid w:val="00483F16"/>
    <w:rsid w:val="0048511D"/>
    <w:rsid w:val="00496185"/>
    <w:rsid w:val="004A75FF"/>
    <w:rsid w:val="004B3C3F"/>
    <w:rsid w:val="004B4D68"/>
    <w:rsid w:val="004C181C"/>
    <w:rsid w:val="004C445A"/>
    <w:rsid w:val="004C4477"/>
    <w:rsid w:val="004C6673"/>
    <w:rsid w:val="004C78DD"/>
    <w:rsid w:val="004C7CD6"/>
    <w:rsid w:val="004D3C4E"/>
    <w:rsid w:val="004D6975"/>
    <w:rsid w:val="004D7C66"/>
    <w:rsid w:val="004E0167"/>
    <w:rsid w:val="004E152E"/>
    <w:rsid w:val="004E6C3D"/>
    <w:rsid w:val="004F29B4"/>
    <w:rsid w:val="004F3228"/>
    <w:rsid w:val="004F6DB3"/>
    <w:rsid w:val="005020DE"/>
    <w:rsid w:val="00503305"/>
    <w:rsid w:val="0050413F"/>
    <w:rsid w:val="005051BE"/>
    <w:rsid w:val="00505CD2"/>
    <w:rsid w:val="00507297"/>
    <w:rsid w:val="005124A3"/>
    <w:rsid w:val="00515B82"/>
    <w:rsid w:val="0051608A"/>
    <w:rsid w:val="0051755E"/>
    <w:rsid w:val="005208D0"/>
    <w:rsid w:val="00524E15"/>
    <w:rsid w:val="00530C56"/>
    <w:rsid w:val="00533B2A"/>
    <w:rsid w:val="0053400A"/>
    <w:rsid w:val="005347E0"/>
    <w:rsid w:val="0053635F"/>
    <w:rsid w:val="00536C3C"/>
    <w:rsid w:val="00537853"/>
    <w:rsid w:val="00537E5F"/>
    <w:rsid w:val="00540C2F"/>
    <w:rsid w:val="0054119B"/>
    <w:rsid w:val="0054736C"/>
    <w:rsid w:val="005505FD"/>
    <w:rsid w:val="00554B7D"/>
    <w:rsid w:val="00555C92"/>
    <w:rsid w:val="005563C0"/>
    <w:rsid w:val="00564592"/>
    <w:rsid w:val="00564A0C"/>
    <w:rsid w:val="00564B7F"/>
    <w:rsid w:val="00564F91"/>
    <w:rsid w:val="0056706B"/>
    <w:rsid w:val="00571BCB"/>
    <w:rsid w:val="005734DC"/>
    <w:rsid w:val="00573DE7"/>
    <w:rsid w:val="00575956"/>
    <w:rsid w:val="00575C51"/>
    <w:rsid w:val="0057711F"/>
    <w:rsid w:val="005777D1"/>
    <w:rsid w:val="00586987"/>
    <w:rsid w:val="005910DC"/>
    <w:rsid w:val="005945C3"/>
    <w:rsid w:val="00594F6B"/>
    <w:rsid w:val="0059544C"/>
    <w:rsid w:val="00597C52"/>
    <w:rsid w:val="005A067E"/>
    <w:rsid w:val="005A2B98"/>
    <w:rsid w:val="005A39CB"/>
    <w:rsid w:val="005A6E04"/>
    <w:rsid w:val="005B29FF"/>
    <w:rsid w:val="005B304B"/>
    <w:rsid w:val="005C07C8"/>
    <w:rsid w:val="005C2C71"/>
    <w:rsid w:val="005C5B2E"/>
    <w:rsid w:val="005C68B4"/>
    <w:rsid w:val="005C7615"/>
    <w:rsid w:val="005D3003"/>
    <w:rsid w:val="005D616B"/>
    <w:rsid w:val="005D6C2D"/>
    <w:rsid w:val="005E1815"/>
    <w:rsid w:val="005E3C13"/>
    <w:rsid w:val="005E7B33"/>
    <w:rsid w:val="005F09D2"/>
    <w:rsid w:val="005F1668"/>
    <w:rsid w:val="005F2769"/>
    <w:rsid w:val="005F2AD0"/>
    <w:rsid w:val="005F2FD2"/>
    <w:rsid w:val="005F3061"/>
    <w:rsid w:val="005F4961"/>
    <w:rsid w:val="005F5D38"/>
    <w:rsid w:val="0060186C"/>
    <w:rsid w:val="00603AFD"/>
    <w:rsid w:val="006053F6"/>
    <w:rsid w:val="00605A2E"/>
    <w:rsid w:val="0060769D"/>
    <w:rsid w:val="006121F4"/>
    <w:rsid w:val="00617590"/>
    <w:rsid w:val="00617B08"/>
    <w:rsid w:val="00617C39"/>
    <w:rsid w:val="006260BB"/>
    <w:rsid w:val="00627AB4"/>
    <w:rsid w:val="00631D1E"/>
    <w:rsid w:val="006335ED"/>
    <w:rsid w:val="00633E53"/>
    <w:rsid w:val="006342DB"/>
    <w:rsid w:val="006343EC"/>
    <w:rsid w:val="0063539D"/>
    <w:rsid w:val="006371EA"/>
    <w:rsid w:val="00637F53"/>
    <w:rsid w:val="006404F9"/>
    <w:rsid w:val="00650AC3"/>
    <w:rsid w:val="00650FD7"/>
    <w:rsid w:val="006511A8"/>
    <w:rsid w:val="006511B3"/>
    <w:rsid w:val="00654C80"/>
    <w:rsid w:val="00660ECB"/>
    <w:rsid w:val="00661F06"/>
    <w:rsid w:val="00662588"/>
    <w:rsid w:val="00664AC8"/>
    <w:rsid w:val="0066728E"/>
    <w:rsid w:val="0067378F"/>
    <w:rsid w:val="0067489E"/>
    <w:rsid w:val="00675BAB"/>
    <w:rsid w:val="006773E1"/>
    <w:rsid w:val="00680042"/>
    <w:rsid w:val="00681FEA"/>
    <w:rsid w:val="00682F7F"/>
    <w:rsid w:val="00685738"/>
    <w:rsid w:val="006905AE"/>
    <w:rsid w:val="00691000"/>
    <w:rsid w:val="00693642"/>
    <w:rsid w:val="00693E48"/>
    <w:rsid w:val="00695932"/>
    <w:rsid w:val="00695D34"/>
    <w:rsid w:val="006A1A77"/>
    <w:rsid w:val="006A1B00"/>
    <w:rsid w:val="006A4226"/>
    <w:rsid w:val="006A4FC1"/>
    <w:rsid w:val="006A5636"/>
    <w:rsid w:val="006A6CB4"/>
    <w:rsid w:val="006A7BBC"/>
    <w:rsid w:val="006B0BA0"/>
    <w:rsid w:val="006B12C0"/>
    <w:rsid w:val="006B65C5"/>
    <w:rsid w:val="006C52BF"/>
    <w:rsid w:val="006D0AF0"/>
    <w:rsid w:val="006D10D8"/>
    <w:rsid w:val="006D35B1"/>
    <w:rsid w:val="006D35DC"/>
    <w:rsid w:val="006D72AA"/>
    <w:rsid w:val="006E1443"/>
    <w:rsid w:val="006E2C64"/>
    <w:rsid w:val="006F4DF7"/>
    <w:rsid w:val="006F55FA"/>
    <w:rsid w:val="006F6FB7"/>
    <w:rsid w:val="0071134C"/>
    <w:rsid w:val="007114E4"/>
    <w:rsid w:val="00714DDE"/>
    <w:rsid w:val="0071698C"/>
    <w:rsid w:val="00725212"/>
    <w:rsid w:val="00727505"/>
    <w:rsid w:val="00727802"/>
    <w:rsid w:val="00731B29"/>
    <w:rsid w:val="00733795"/>
    <w:rsid w:val="007351D6"/>
    <w:rsid w:val="00735889"/>
    <w:rsid w:val="00737200"/>
    <w:rsid w:val="00737D62"/>
    <w:rsid w:val="00737FEF"/>
    <w:rsid w:val="00740C40"/>
    <w:rsid w:val="00741162"/>
    <w:rsid w:val="00742E57"/>
    <w:rsid w:val="0074491A"/>
    <w:rsid w:val="00754D85"/>
    <w:rsid w:val="007557E4"/>
    <w:rsid w:val="00756356"/>
    <w:rsid w:val="00757FD8"/>
    <w:rsid w:val="007605F1"/>
    <w:rsid w:val="00774434"/>
    <w:rsid w:val="007756AB"/>
    <w:rsid w:val="007811F6"/>
    <w:rsid w:val="00781896"/>
    <w:rsid w:val="00781D6C"/>
    <w:rsid w:val="007845E1"/>
    <w:rsid w:val="00792EAE"/>
    <w:rsid w:val="007936EA"/>
    <w:rsid w:val="007940A9"/>
    <w:rsid w:val="007940BF"/>
    <w:rsid w:val="007A149B"/>
    <w:rsid w:val="007A3424"/>
    <w:rsid w:val="007C244C"/>
    <w:rsid w:val="007C66E4"/>
    <w:rsid w:val="007C7536"/>
    <w:rsid w:val="007D1FFC"/>
    <w:rsid w:val="007D725F"/>
    <w:rsid w:val="007E52EF"/>
    <w:rsid w:val="007E608C"/>
    <w:rsid w:val="007F44C1"/>
    <w:rsid w:val="00801A7F"/>
    <w:rsid w:val="00801F02"/>
    <w:rsid w:val="00803765"/>
    <w:rsid w:val="0080563C"/>
    <w:rsid w:val="00806BAC"/>
    <w:rsid w:val="00812DC4"/>
    <w:rsid w:val="00813A84"/>
    <w:rsid w:val="00814260"/>
    <w:rsid w:val="00814DA3"/>
    <w:rsid w:val="00815F39"/>
    <w:rsid w:val="008206EE"/>
    <w:rsid w:val="00821563"/>
    <w:rsid w:val="008216E8"/>
    <w:rsid w:val="00823DCE"/>
    <w:rsid w:val="008247C4"/>
    <w:rsid w:val="00824BBC"/>
    <w:rsid w:val="008264D6"/>
    <w:rsid w:val="00826611"/>
    <w:rsid w:val="00826BFA"/>
    <w:rsid w:val="00827184"/>
    <w:rsid w:val="008315E7"/>
    <w:rsid w:val="00831A18"/>
    <w:rsid w:val="0083258C"/>
    <w:rsid w:val="00833772"/>
    <w:rsid w:val="0083703C"/>
    <w:rsid w:val="00840B0D"/>
    <w:rsid w:val="0084154F"/>
    <w:rsid w:val="00846F9A"/>
    <w:rsid w:val="00850D96"/>
    <w:rsid w:val="00853F5C"/>
    <w:rsid w:val="00854417"/>
    <w:rsid w:val="00856862"/>
    <w:rsid w:val="00860AE3"/>
    <w:rsid w:val="00862F16"/>
    <w:rsid w:val="008746CD"/>
    <w:rsid w:val="00874BB5"/>
    <w:rsid w:val="00875F6C"/>
    <w:rsid w:val="008779C2"/>
    <w:rsid w:val="00883A1D"/>
    <w:rsid w:val="00883F30"/>
    <w:rsid w:val="00884A57"/>
    <w:rsid w:val="00886C98"/>
    <w:rsid w:val="00886CE3"/>
    <w:rsid w:val="00887632"/>
    <w:rsid w:val="00893A2E"/>
    <w:rsid w:val="00895F4A"/>
    <w:rsid w:val="008973E6"/>
    <w:rsid w:val="008A008B"/>
    <w:rsid w:val="008A3C18"/>
    <w:rsid w:val="008A62AA"/>
    <w:rsid w:val="008A6490"/>
    <w:rsid w:val="008A68FC"/>
    <w:rsid w:val="008B29D3"/>
    <w:rsid w:val="008B3416"/>
    <w:rsid w:val="008B4863"/>
    <w:rsid w:val="008B579D"/>
    <w:rsid w:val="008B6B5F"/>
    <w:rsid w:val="008C1125"/>
    <w:rsid w:val="008C2552"/>
    <w:rsid w:val="008C44D0"/>
    <w:rsid w:val="008C50FF"/>
    <w:rsid w:val="008D02D8"/>
    <w:rsid w:val="008D78B0"/>
    <w:rsid w:val="008E1EB5"/>
    <w:rsid w:val="008E63DC"/>
    <w:rsid w:val="008E7ADB"/>
    <w:rsid w:val="008E7C88"/>
    <w:rsid w:val="008F0327"/>
    <w:rsid w:val="008F0F8A"/>
    <w:rsid w:val="008F2A53"/>
    <w:rsid w:val="008F3A33"/>
    <w:rsid w:val="009009D6"/>
    <w:rsid w:val="009029CF"/>
    <w:rsid w:val="00905E4B"/>
    <w:rsid w:val="00913E57"/>
    <w:rsid w:val="00917DDE"/>
    <w:rsid w:val="00924305"/>
    <w:rsid w:val="00926112"/>
    <w:rsid w:val="00926E1B"/>
    <w:rsid w:val="009317D5"/>
    <w:rsid w:val="00932BA3"/>
    <w:rsid w:val="00935854"/>
    <w:rsid w:val="00940E07"/>
    <w:rsid w:val="009411E1"/>
    <w:rsid w:val="00943727"/>
    <w:rsid w:val="00943854"/>
    <w:rsid w:val="00947EBA"/>
    <w:rsid w:val="00951738"/>
    <w:rsid w:val="00953891"/>
    <w:rsid w:val="0096388F"/>
    <w:rsid w:val="00963992"/>
    <w:rsid w:val="00966431"/>
    <w:rsid w:val="009706A4"/>
    <w:rsid w:val="00970FC4"/>
    <w:rsid w:val="00971533"/>
    <w:rsid w:val="009718CC"/>
    <w:rsid w:val="009750C1"/>
    <w:rsid w:val="00975641"/>
    <w:rsid w:val="00975CD3"/>
    <w:rsid w:val="00991C98"/>
    <w:rsid w:val="00994827"/>
    <w:rsid w:val="009A0CE8"/>
    <w:rsid w:val="009A27F5"/>
    <w:rsid w:val="009A4141"/>
    <w:rsid w:val="009A62C4"/>
    <w:rsid w:val="009A6EA6"/>
    <w:rsid w:val="009A78A5"/>
    <w:rsid w:val="009A7A2D"/>
    <w:rsid w:val="009B36FD"/>
    <w:rsid w:val="009C0BDB"/>
    <w:rsid w:val="009C2645"/>
    <w:rsid w:val="009C5B24"/>
    <w:rsid w:val="009C643E"/>
    <w:rsid w:val="009D2D7E"/>
    <w:rsid w:val="009D5100"/>
    <w:rsid w:val="009E3161"/>
    <w:rsid w:val="009F0F09"/>
    <w:rsid w:val="009F25E1"/>
    <w:rsid w:val="009F33B1"/>
    <w:rsid w:val="009F3962"/>
    <w:rsid w:val="009F5B7F"/>
    <w:rsid w:val="009F7D99"/>
    <w:rsid w:val="00A00814"/>
    <w:rsid w:val="00A0200B"/>
    <w:rsid w:val="00A05C7B"/>
    <w:rsid w:val="00A11355"/>
    <w:rsid w:val="00A118CE"/>
    <w:rsid w:val="00A11DCA"/>
    <w:rsid w:val="00A12161"/>
    <w:rsid w:val="00A1234F"/>
    <w:rsid w:val="00A1372A"/>
    <w:rsid w:val="00A1533B"/>
    <w:rsid w:val="00A16A3E"/>
    <w:rsid w:val="00A22171"/>
    <w:rsid w:val="00A22C63"/>
    <w:rsid w:val="00A23C1F"/>
    <w:rsid w:val="00A24C2A"/>
    <w:rsid w:val="00A24C55"/>
    <w:rsid w:val="00A25D4B"/>
    <w:rsid w:val="00A263D3"/>
    <w:rsid w:val="00A2656A"/>
    <w:rsid w:val="00A30490"/>
    <w:rsid w:val="00A324C0"/>
    <w:rsid w:val="00A356AD"/>
    <w:rsid w:val="00A365A2"/>
    <w:rsid w:val="00A37FDF"/>
    <w:rsid w:val="00A42C5E"/>
    <w:rsid w:val="00A43914"/>
    <w:rsid w:val="00A449BB"/>
    <w:rsid w:val="00A47C14"/>
    <w:rsid w:val="00A501C8"/>
    <w:rsid w:val="00A511A6"/>
    <w:rsid w:val="00A518E1"/>
    <w:rsid w:val="00A52D71"/>
    <w:rsid w:val="00A52E40"/>
    <w:rsid w:val="00A55BDB"/>
    <w:rsid w:val="00A6390C"/>
    <w:rsid w:val="00A7382D"/>
    <w:rsid w:val="00A75476"/>
    <w:rsid w:val="00A82992"/>
    <w:rsid w:val="00A84390"/>
    <w:rsid w:val="00A86090"/>
    <w:rsid w:val="00A865BA"/>
    <w:rsid w:val="00A877C5"/>
    <w:rsid w:val="00A87F41"/>
    <w:rsid w:val="00A93EC6"/>
    <w:rsid w:val="00A94D0D"/>
    <w:rsid w:val="00A95615"/>
    <w:rsid w:val="00AA01C6"/>
    <w:rsid w:val="00AA10A7"/>
    <w:rsid w:val="00AA112C"/>
    <w:rsid w:val="00AA4E65"/>
    <w:rsid w:val="00AA4EDB"/>
    <w:rsid w:val="00AA7135"/>
    <w:rsid w:val="00AA73B2"/>
    <w:rsid w:val="00AB10F4"/>
    <w:rsid w:val="00AB228F"/>
    <w:rsid w:val="00AB329A"/>
    <w:rsid w:val="00AB565E"/>
    <w:rsid w:val="00AC3575"/>
    <w:rsid w:val="00AC57C3"/>
    <w:rsid w:val="00AC63CF"/>
    <w:rsid w:val="00AD0169"/>
    <w:rsid w:val="00AD0172"/>
    <w:rsid w:val="00AD2BF7"/>
    <w:rsid w:val="00AD44C7"/>
    <w:rsid w:val="00AD4D17"/>
    <w:rsid w:val="00AD5449"/>
    <w:rsid w:val="00AE261F"/>
    <w:rsid w:val="00AE2DC3"/>
    <w:rsid w:val="00AE3AD9"/>
    <w:rsid w:val="00AE6370"/>
    <w:rsid w:val="00AF11A3"/>
    <w:rsid w:val="00AF1EF8"/>
    <w:rsid w:val="00AF2036"/>
    <w:rsid w:val="00B0340D"/>
    <w:rsid w:val="00B03636"/>
    <w:rsid w:val="00B046DF"/>
    <w:rsid w:val="00B0506E"/>
    <w:rsid w:val="00B05BC1"/>
    <w:rsid w:val="00B07A8A"/>
    <w:rsid w:val="00B11249"/>
    <w:rsid w:val="00B11E26"/>
    <w:rsid w:val="00B144D3"/>
    <w:rsid w:val="00B20590"/>
    <w:rsid w:val="00B213D1"/>
    <w:rsid w:val="00B23C80"/>
    <w:rsid w:val="00B33E7B"/>
    <w:rsid w:val="00B37157"/>
    <w:rsid w:val="00B37261"/>
    <w:rsid w:val="00B429E8"/>
    <w:rsid w:val="00B43099"/>
    <w:rsid w:val="00B50F8B"/>
    <w:rsid w:val="00B53F5C"/>
    <w:rsid w:val="00B55234"/>
    <w:rsid w:val="00B5537F"/>
    <w:rsid w:val="00B55800"/>
    <w:rsid w:val="00B56568"/>
    <w:rsid w:val="00B65AE9"/>
    <w:rsid w:val="00B66676"/>
    <w:rsid w:val="00B6740B"/>
    <w:rsid w:val="00B708B2"/>
    <w:rsid w:val="00B73416"/>
    <w:rsid w:val="00B7347D"/>
    <w:rsid w:val="00B7681B"/>
    <w:rsid w:val="00B77477"/>
    <w:rsid w:val="00B823C2"/>
    <w:rsid w:val="00B82774"/>
    <w:rsid w:val="00B843EC"/>
    <w:rsid w:val="00B943A5"/>
    <w:rsid w:val="00B94DD1"/>
    <w:rsid w:val="00B94E0B"/>
    <w:rsid w:val="00B94EFE"/>
    <w:rsid w:val="00B954B8"/>
    <w:rsid w:val="00B95AA9"/>
    <w:rsid w:val="00BA0C59"/>
    <w:rsid w:val="00BA12CE"/>
    <w:rsid w:val="00BA570D"/>
    <w:rsid w:val="00BA5A89"/>
    <w:rsid w:val="00BA67F2"/>
    <w:rsid w:val="00BB14F3"/>
    <w:rsid w:val="00BB15DB"/>
    <w:rsid w:val="00BB2599"/>
    <w:rsid w:val="00BB6932"/>
    <w:rsid w:val="00BB7B52"/>
    <w:rsid w:val="00BC2838"/>
    <w:rsid w:val="00BC4BDB"/>
    <w:rsid w:val="00BC75E3"/>
    <w:rsid w:val="00BD049A"/>
    <w:rsid w:val="00BD1C9B"/>
    <w:rsid w:val="00BD2990"/>
    <w:rsid w:val="00BD46AC"/>
    <w:rsid w:val="00BD50BC"/>
    <w:rsid w:val="00BD58F8"/>
    <w:rsid w:val="00BE2434"/>
    <w:rsid w:val="00BE4828"/>
    <w:rsid w:val="00BE6F1F"/>
    <w:rsid w:val="00BE7E1C"/>
    <w:rsid w:val="00BF1BCD"/>
    <w:rsid w:val="00BF1D3E"/>
    <w:rsid w:val="00BF2633"/>
    <w:rsid w:val="00BF3001"/>
    <w:rsid w:val="00BF5179"/>
    <w:rsid w:val="00C010F6"/>
    <w:rsid w:val="00C02050"/>
    <w:rsid w:val="00C07069"/>
    <w:rsid w:val="00C10DDC"/>
    <w:rsid w:val="00C11840"/>
    <w:rsid w:val="00C123EE"/>
    <w:rsid w:val="00C13CB6"/>
    <w:rsid w:val="00C16960"/>
    <w:rsid w:val="00C20386"/>
    <w:rsid w:val="00C24084"/>
    <w:rsid w:val="00C240EA"/>
    <w:rsid w:val="00C25C07"/>
    <w:rsid w:val="00C3071D"/>
    <w:rsid w:val="00C34EF5"/>
    <w:rsid w:val="00C41385"/>
    <w:rsid w:val="00C4271D"/>
    <w:rsid w:val="00C43474"/>
    <w:rsid w:val="00C452A4"/>
    <w:rsid w:val="00C45AB0"/>
    <w:rsid w:val="00C4615A"/>
    <w:rsid w:val="00C47943"/>
    <w:rsid w:val="00C556A8"/>
    <w:rsid w:val="00C559F2"/>
    <w:rsid w:val="00C5603B"/>
    <w:rsid w:val="00C56CE2"/>
    <w:rsid w:val="00C63CAC"/>
    <w:rsid w:val="00C63F98"/>
    <w:rsid w:val="00C655FB"/>
    <w:rsid w:val="00C65F66"/>
    <w:rsid w:val="00C76CBA"/>
    <w:rsid w:val="00C83F05"/>
    <w:rsid w:val="00C84144"/>
    <w:rsid w:val="00C8714F"/>
    <w:rsid w:val="00C877FA"/>
    <w:rsid w:val="00C91BC6"/>
    <w:rsid w:val="00C928D8"/>
    <w:rsid w:val="00C94DE6"/>
    <w:rsid w:val="00C96904"/>
    <w:rsid w:val="00C9708E"/>
    <w:rsid w:val="00CA061C"/>
    <w:rsid w:val="00CA4819"/>
    <w:rsid w:val="00CA52C8"/>
    <w:rsid w:val="00CA558A"/>
    <w:rsid w:val="00CA5A7B"/>
    <w:rsid w:val="00CB1526"/>
    <w:rsid w:val="00CB15D9"/>
    <w:rsid w:val="00CB4195"/>
    <w:rsid w:val="00CC0882"/>
    <w:rsid w:val="00CC6C27"/>
    <w:rsid w:val="00CC71EF"/>
    <w:rsid w:val="00CD1247"/>
    <w:rsid w:val="00CD39C3"/>
    <w:rsid w:val="00CD641B"/>
    <w:rsid w:val="00CE3911"/>
    <w:rsid w:val="00CE4310"/>
    <w:rsid w:val="00CE618C"/>
    <w:rsid w:val="00CE7CD2"/>
    <w:rsid w:val="00CF1134"/>
    <w:rsid w:val="00CF1AC8"/>
    <w:rsid w:val="00CF2652"/>
    <w:rsid w:val="00CF4569"/>
    <w:rsid w:val="00CF5A36"/>
    <w:rsid w:val="00D00076"/>
    <w:rsid w:val="00D01B13"/>
    <w:rsid w:val="00D03056"/>
    <w:rsid w:val="00D03784"/>
    <w:rsid w:val="00D0457A"/>
    <w:rsid w:val="00D04C1F"/>
    <w:rsid w:val="00D056CC"/>
    <w:rsid w:val="00D1006C"/>
    <w:rsid w:val="00D16D4A"/>
    <w:rsid w:val="00D25186"/>
    <w:rsid w:val="00D32A78"/>
    <w:rsid w:val="00D32D33"/>
    <w:rsid w:val="00D35977"/>
    <w:rsid w:val="00D41B12"/>
    <w:rsid w:val="00D43F5A"/>
    <w:rsid w:val="00D447C6"/>
    <w:rsid w:val="00D44A5D"/>
    <w:rsid w:val="00D46122"/>
    <w:rsid w:val="00D46946"/>
    <w:rsid w:val="00D47978"/>
    <w:rsid w:val="00D5208D"/>
    <w:rsid w:val="00D54625"/>
    <w:rsid w:val="00D62C10"/>
    <w:rsid w:val="00D64597"/>
    <w:rsid w:val="00D6558E"/>
    <w:rsid w:val="00D7113A"/>
    <w:rsid w:val="00D742F6"/>
    <w:rsid w:val="00D748CD"/>
    <w:rsid w:val="00D779E8"/>
    <w:rsid w:val="00D82669"/>
    <w:rsid w:val="00D830DE"/>
    <w:rsid w:val="00D8352D"/>
    <w:rsid w:val="00D84FBA"/>
    <w:rsid w:val="00D87A69"/>
    <w:rsid w:val="00D87F07"/>
    <w:rsid w:val="00D9142A"/>
    <w:rsid w:val="00D9558F"/>
    <w:rsid w:val="00D9735E"/>
    <w:rsid w:val="00DA30DC"/>
    <w:rsid w:val="00DA50C3"/>
    <w:rsid w:val="00DA7438"/>
    <w:rsid w:val="00DA7E91"/>
    <w:rsid w:val="00DB250D"/>
    <w:rsid w:val="00DB335D"/>
    <w:rsid w:val="00DB7F6F"/>
    <w:rsid w:val="00DC0905"/>
    <w:rsid w:val="00DC6D02"/>
    <w:rsid w:val="00DC6E2D"/>
    <w:rsid w:val="00DD0DE2"/>
    <w:rsid w:val="00DD2123"/>
    <w:rsid w:val="00DD2CE2"/>
    <w:rsid w:val="00DD60DE"/>
    <w:rsid w:val="00DD642A"/>
    <w:rsid w:val="00DE0200"/>
    <w:rsid w:val="00DE1406"/>
    <w:rsid w:val="00DE14F6"/>
    <w:rsid w:val="00DE35BE"/>
    <w:rsid w:val="00DE368F"/>
    <w:rsid w:val="00DF4FB8"/>
    <w:rsid w:val="00DF7385"/>
    <w:rsid w:val="00DF7EB5"/>
    <w:rsid w:val="00E03011"/>
    <w:rsid w:val="00E0572F"/>
    <w:rsid w:val="00E07730"/>
    <w:rsid w:val="00E103E1"/>
    <w:rsid w:val="00E1061C"/>
    <w:rsid w:val="00E10692"/>
    <w:rsid w:val="00E14738"/>
    <w:rsid w:val="00E1479A"/>
    <w:rsid w:val="00E1610B"/>
    <w:rsid w:val="00E206A3"/>
    <w:rsid w:val="00E20C64"/>
    <w:rsid w:val="00E21DA0"/>
    <w:rsid w:val="00E23E08"/>
    <w:rsid w:val="00E24DB8"/>
    <w:rsid w:val="00E26EB0"/>
    <w:rsid w:val="00E27034"/>
    <w:rsid w:val="00E314FC"/>
    <w:rsid w:val="00E32D4B"/>
    <w:rsid w:val="00E3547A"/>
    <w:rsid w:val="00E36423"/>
    <w:rsid w:val="00E41116"/>
    <w:rsid w:val="00E414EF"/>
    <w:rsid w:val="00E424DA"/>
    <w:rsid w:val="00E45390"/>
    <w:rsid w:val="00E455A5"/>
    <w:rsid w:val="00E54CCA"/>
    <w:rsid w:val="00E54F56"/>
    <w:rsid w:val="00E5722D"/>
    <w:rsid w:val="00E6221F"/>
    <w:rsid w:val="00E62643"/>
    <w:rsid w:val="00E62938"/>
    <w:rsid w:val="00E64954"/>
    <w:rsid w:val="00E67F78"/>
    <w:rsid w:val="00E702F6"/>
    <w:rsid w:val="00E7387C"/>
    <w:rsid w:val="00E738A0"/>
    <w:rsid w:val="00E73C17"/>
    <w:rsid w:val="00E74D89"/>
    <w:rsid w:val="00E778AE"/>
    <w:rsid w:val="00E77A0F"/>
    <w:rsid w:val="00E820E0"/>
    <w:rsid w:val="00E835A1"/>
    <w:rsid w:val="00E83E2D"/>
    <w:rsid w:val="00E85164"/>
    <w:rsid w:val="00E8739B"/>
    <w:rsid w:val="00E91F7E"/>
    <w:rsid w:val="00E948B4"/>
    <w:rsid w:val="00E9508B"/>
    <w:rsid w:val="00E96570"/>
    <w:rsid w:val="00E96666"/>
    <w:rsid w:val="00EA31DB"/>
    <w:rsid w:val="00EA68E9"/>
    <w:rsid w:val="00EA6932"/>
    <w:rsid w:val="00EB14CE"/>
    <w:rsid w:val="00EB3C38"/>
    <w:rsid w:val="00EB41BB"/>
    <w:rsid w:val="00EB5611"/>
    <w:rsid w:val="00EC00D0"/>
    <w:rsid w:val="00EC12A0"/>
    <w:rsid w:val="00EC78B7"/>
    <w:rsid w:val="00ED14BD"/>
    <w:rsid w:val="00ED24F1"/>
    <w:rsid w:val="00ED41E5"/>
    <w:rsid w:val="00EE2823"/>
    <w:rsid w:val="00EE332B"/>
    <w:rsid w:val="00EE5143"/>
    <w:rsid w:val="00EF1519"/>
    <w:rsid w:val="00EF2896"/>
    <w:rsid w:val="00EF2C61"/>
    <w:rsid w:val="00EF4610"/>
    <w:rsid w:val="00EF4964"/>
    <w:rsid w:val="00EF6CB2"/>
    <w:rsid w:val="00EF7939"/>
    <w:rsid w:val="00F01A5C"/>
    <w:rsid w:val="00F04DE2"/>
    <w:rsid w:val="00F076E3"/>
    <w:rsid w:val="00F11CFC"/>
    <w:rsid w:val="00F13EC0"/>
    <w:rsid w:val="00F1463A"/>
    <w:rsid w:val="00F213D5"/>
    <w:rsid w:val="00F23DBE"/>
    <w:rsid w:val="00F329A7"/>
    <w:rsid w:val="00F375D4"/>
    <w:rsid w:val="00F40513"/>
    <w:rsid w:val="00F41C5C"/>
    <w:rsid w:val="00F424A9"/>
    <w:rsid w:val="00F4459F"/>
    <w:rsid w:val="00F44C87"/>
    <w:rsid w:val="00F503BC"/>
    <w:rsid w:val="00F508C7"/>
    <w:rsid w:val="00F51EC8"/>
    <w:rsid w:val="00F52F72"/>
    <w:rsid w:val="00F54D5B"/>
    <w:rsid w:val="00F5729F"/>
    <w:rsid w:val="00F65587"/>
    <w:rsid w:val="00F656A1"/>
    <w:rsid w:val="00F65B62"/>
    <w:rsid w:val="00F65C38"/>
    <w:rsid w:val="00F667FA"/>
    <w:rsid w:val="00F72DC7"/>
    <w:rsid w:val="00F776C3"/>
    <w:rsid w:val="00F77E06"/>
    <w:rsid w:val="00F850F4"/>
    <w:rsid w:val="00F85864"/>
    <w:rsid w:val="00F85AD8"/>
    <w:rsid w:val="00F86F2E"/>
    <w:rsid w:val="00F9021F"/>
    <w:rsid w:val="00F916EE"/>
    <w:rsid w:val="00F93464"/>
    <w:rsid w:val="00F95594"/>
    <w:rsid w:val="00FA0CAE"/>
    <w:rsid w:val="00FA11E7"/>
    <w:rsid w:val="00FA5DE1"/>
    <w:rsid w:val="00FA7D60"/>
    <w:rsid w:val="00FB260A"/>
    <w:rsid w:val="00FB2B02"/>
    <w:rsid w:val="00FB4897"/>
    <w:rsid w:val="00FB6664"/>
    <w:rsid w:val="00FC3BF8"/>
    <w:rsid w:val="00FC60C3"/>
    <w:rsid w:val="00FC6311"/>
    <w:rsid w:val="00FC7CE6"/>
    <w:rsid w:val="00FD0795"/>
    <w:rsid w:val="00FD3A37"/>
    <w:rsid w:val="00FD577E"/>
    <w:rsid w:val="00FD6497"/>
    <w:rsid w:val="00FD73BD"/>
    <w:rsid w:val="00FE14B4"/>
    <w:rsid w:val="00FE1EBE"/>
    <w:rsid w:val="00FE7B64"/>
    <w:rsid w:val="00FE7F2B"/>
    <w:rsid w:val="00FF2EC3"/>
    <w:rsid w:val="00FF3E4A"/>
    <w:rsid w:val="00FF462C"/>
    <w:rsid w:val="00FF66DC"/>
    <w:rsid w:val="00FF7CD6"/>
    <w:rsid w:val="012A4E2C"/>
    <w:rsid w:val="02DC2156"/>
    <w:rsid w:val="03CC3F79"/>
    <w:rsid w:val="05CD222A"/>
    <w:rsid w:val="06084616"/>
    <w:rsid w:val="06A9292B"/>
    <w:rsid w:val="08EF7A39"/>
    <w:rsid w:val="0A5844F0"/>
    <w:rsid w:val="0EE41D10"/>
    <w:rsid w:val="11386E78"/>
    <w:rsid w:val="11B73ED3"/>
    <w:rsid w:val="12277661"/>
    <w:rsid w:val="133D4C82"/>
    <w:rsid w:val="13D12EE6"/>
    <w:rsid w:val="13EE1CEA"/>
    <w:rsid w:val="13F37300"/>
    <w:rsid w:val="174D6D27"/>
    <w:rsid w:val="18CE5C46"/>
    <w:rsid w:val="1A2A2D28"/>
    <w:rsid w:val="1B9C64CF"/>
    <w:rsid w:val="1E6C7E3E"/>
    <w:rsid w:val="20346CD6"/>
    <w:rsid w:val="206E043A"/>
    <w:rsid w:val="21B75E11"/>
    <w:rsid w:val="2443573A"/>
    <w:rsid w:val="25496D80"/>
    <w:rsid w:val="27095D8A"/>
    <w:rsid w:val="277B51EB"/>
    <w:rsid w:val="279E6744"/>
    <w:rsid w:val="29EF532D"/>
    <w:rsid w:val="2BAD2B02"/>
    <w:rsid w:val="2DFE73B2"/>
    <w:rsid w:val="2E0C3040"/>
    <w:rsid w:val="2E40384E"/>
    <w:rsid w:val="2F083808"/>
    <w:rsid w:val="2F0B058C"/>
    <w:rsid w:val="2F7C5FA4"/>
    <w:rsid w:val="344833B2"/>
    <w:rsid w:val="3B7F5E21"/>
    <w:rsid w:val="3CFA47F3"/>
    <w:rsid w:val="3D6C58AA"/>
    <w:rsid w:val="3E799816"/>
    <w:rsid w:val="403F2E01"/>
    <w:rsid w:val="431A1904"/>
    <w:rsid w:val="45413951"/>
    <w:rsid w:val="46E47FFF"/>
    <w:rsid w:val="4779601E"/>
    <w:rsid w:val="493E1AE1"/>
    <w:rsid w:val="4B2238EC"/>
    <w:rsid w:val="4C6C7CEB"/>
    <w:rsid w:val="4DDD59C1"/>
    <w:rsid w:val="4EAE0286"/>
    <w:rsid w:val="51FB0B52"/>
    <w:rsid w:val="531F075A"/>
    <w:rsid w:val="56DA342C"/>
    <w:rsid w:val="57A01936"/>
    <w:rsid w:val="57A57FD6"/>
    <w:rsid w:val="57F01F2D"/>
    <w:rsid w:val="58D367F3"/>
    <w:rsid w:val="592C1295"/>
    <w:rsid w:val="59DD74BB"/>
    <w:rsid w:val="5A8C449C"/>
    <w:rsid w:val="5B571FFB"/>
    <w:rsid w:val="5BFB00CD"/>
    <w:rsid w:val="5C452F47"/>
    <w:rsid w:val="5D086F45"/>
    <w:rsid w:val="5D4D6706"/>
    <w:rsid w:val="60252B89"/>
    <w:rsid w:val="616C2448"/>
    <w:rsid w:val="63DF2082"/>
    <w:rsid w:val="654A16B4"/>
    <w:rsid w:val="660F1D12"/>
    <w:rsid w:val="67277FC8"/>
    <w:rsid w:val="677C2407"/>
    <w:rsid w:val="68C47A98"/>
    <w:rsid w:val="68C53F3C"/>
    <w:rsid w:val="6CC80E6D"/>
    <w:rsid w:val="6D7D28A3"/>
    <w:rsid w:val="6FDD1529"/>
    <w:rsid w:val="710B6BAC"/>
    <w:rsid w:val="71CC633B"/>
    <w:rsid w:val="71F238C8"/>
    <w:rsid w:val="738A5B9F"/>
    <w:rsid w:val="741F6AAA"/>
    <w:rsid w:val="74A0585D"/>
    <w:rsid w:val="7755A80A"/>
    <w:rsid w:val="77A7157C"/>
    <w:rsid w:val="78B143BF"/>
    <w:rsid w:val="7A035425"/>
    <w:rsid w:val="7AB465B7"/>
    <w:rsid w:val="7AFEC822"/>
    <w:rsid w:val="7B215011"/>
    <w:rsid w:val="7CB63E70"/>
    <w:rsid w:val="7D221505"/>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65C428D"/>
  <w15:docId w15:val="{F5773D5B-68ED-444D-8425-9A03F74D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uiPriority="0" w:qFormat="1"/>
    <w:lsdException w:name="annotation reference" w:qFormat="1"/>
    <w:lsdException w:name="line number" w:uiPriority="0"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pPr>
      <w:widowControl w:val="0"/>
      <w:jc w:val="both"/>
    </w:pPr>
    <w:rPr>
      <w:rFonts w:ascii="Calibri" w:hAnsi="Calibri" w:cs="Calibri"/>
      <w:kern w:val="2"/>
      <w:sz w:val="21"/>
      <w:szCs w:val="24"/>
    </w:rPr>
  </w:style>
  <w:style w:type="paragraph" w:styleId="1">
    <w:name w:val="heading 1"/>
    <w:basedOn w:val="ac"/>
    <w:next w:val="ac"/>
    <w:qFormat/>
    <w:pPr>
      <w:keepNext/>
      <w:keepLines/>
      <w:spacing w:before="340" w:after="330" w:line="578" w:lineRule="auto"/>
      <w:outlineLvl w:val="0"/>
    </w:pPr>
    <w:rPr>
      <w:b/>
      <w:bCs/>
      <w:kern w:val="44"/>
      <w:sz w:val="44"/>
    </w:rPr>
  </w:style>
  <w:style w:type="paragraph" w:styleId="2">
    <w:name w:val="heading 2"/>
    <w:basedOn w:val="ac"/>
    <w:next w:val="ac"/>
    <w:qFormat/>
    <w:pPr>
      <w:keepNext/>
      <w:keepLines/>
      <w:spacing w:before="260" w:after="260" w:line="415" w:lineRule="auto"/>
      <w:outlineLvl w:val="1"/>
    </w:pPr>
    <w:rPr>
      <w:rFonts w:ascii="Times New Roman" w:eastAsia="黑体" w:hAnsi="Times New Roman"/>
      <w:b/>
      <w:sz w:val="32"/>
    </w:rPr>
  </w:style>
  <w:style w:type="paragraph" w:styleId="3">
    <w:name w:val="heading 3"/>
    <w:basedOn w:val="ac"/>
    <w:next w:val="ac"/>
    <w:qFormat/>
    <w:pPr>
      <w:keepNext/>
      <w:keepLines/>
      <w:spacing w:before="260" w:after="260" w:line="415" w:lineRule="auto"/>
      <w:outlineLvl w:val="2"/>
    </w:pPr>
    <w:rPr>
      <w:b/>
      <w:sz w:val="32"/>
    </w:rPr>
  </w:style>
  <w:style w:type="paragraph" w:styleId="7">
    <w:name w:val="heading 7"/>
    <w:basedOn w:val="ac"/>
    <w:next w:val="ac"/>
    <w:link w:val="70"/>
    <w:uiPriority w:val="9"/>
    <w:qFormat/>
    <w:pPr>
      <w:keepNext/>
      <w:keepLines/>
      <w:spacing w:before="240" w:after="64" w:line="320" w:lineRule="auto"/>
      <w:outlineLvl w:val="6"/>
    </w:pPr>
    <w:rPr>
      <w:b/>
      <w:bCs/>
      <w:sz w:val="24"/>
    </w:rPr>
  </w:style>
  <w:style w:type="character" w:default="1" w:styleId="ad">
    <w:name w:val="Default Paragraph Font"/>
    <w:uiPriority w:val="1"/>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annotation text"/>
    <w:basedOn w:val="ac"/>
    <w:link w:val="af1"/>
    <w:uiPriority w:val="99"/>
    <w:unhideWhenUsed/>
    <w:qFormat/>
    <w:pPr>
      <w:adjustRightInd w:val="0"/>
      <w:spacing w:line="400" w:lineRule="exact"/>
      <w:jc w:val="left"/>
    </w:pPr>
    <w:rPr>
      <w:szCs w:val="21"/>
    </w:rPr>
  </w:style>
  <w:style w:type="paragraph" w:styleId="af2">
    <w:name w:val="Date"/>
    <w:basedOn w:val="ac"/>
    <w:next w:val="ac"/>
    <w:link w:val="af3"/>
    <w:uiPriority w:val="99"/>
    <w:semiHidden/>
    <w:unhideWhenUsed/>
    <w:qFormat/>
    <w:pPr>
      <w:ind w:leftChars="2500" w:left="100"/>
    </w:pPr>
  </w:style>
  <w:style w:type="paragraph" w:styleId="af4">
    <w:name w:val="endnote text"/>
    <w:basedOn w:val="ac"/>
    <w:link w:val="af5"/>
    <w:uiPriority w:val="99"/>
    <w:semiHidden/>
    <w:unhideWhenUsed/>
    <w:qFormat/>
    <w:pPr>
      <w:snapToGrid w:val="0"/>
      <w:jc w:val="left"/>
    </w:pPr>
  </w:style>
  <w:style w:type="paragraph" w:styleId="af6">
    <w:name w:val="Balloon Text"/>
    <w:basedOn w:val="ac"/>
    <w:link w:val="af7"/>
    <w:uiPriority w:val="99"/>
    <w:unhideWhenUsed/>
    <w:qFormat/>
    <w:rPr>
      <w:sz w:val="18"/>
      <w:szCs w:val="18"/>
    </w:rPr>
  </w:style>
  <w:style w:type="paragraph" w:styleId="af8">
    <w:name w:val="footer"/>
    <w:basedOn w:val="ac"/>
    <w:link w:val="af9"/>
    <w:uiPriority w:val="99"/>
    <w:qFormat/>
    <w:pPr>
      <w:tabs>
        <w:tab w:val="center" w:pos="4153"/>
        <w:tab w:val="right" w:pos="8306"/>
      </w:tabs>
      <w:snapToGrid w:val="0"/>
      <w:jc w:val="left"/>
    </w:pPr>
    <w:rPr>
      <w:sz w:val="18"/>
      <w:szCs w:val="18"/>
    </w:rPr>
  </w:style>
  <w:style w:type="paragraph" w:styleId="afa">
    <w:name w:val="envelope return"/>
    <w:basedOn w:val="ac"/>
    <w:qFormat/>
    <w:pPr>
      <w:snapToGrid w:val="0"/>
    </w:pPr>
    <w:rPr>
      <w:rFonts w:ascii="Times New Roman" w:hAnsi="Times New Roman"/>
    </w:rPr>
  </w:style>
  <w:style w:type="paragraph" w:styleId="afb">
    <w:name w:val="header"/>
    <w:basedOn w:val="ac"/>
    <w:link w:val="afc"/>
    <w:qFormat/>
    <w:pPr>
      <w:pBdr>
        <w:bottom w:val="single" w:sz="6" w:space="1" w:color="auto"/>
      </w:pBdr>
      <w:tabs>
        <w:tab w:val="center" w:pos="4153"/>
        <w:tab w:val="right" w:pos="8306"/>
      </w:tabs>
      <w:snapToGrid w:val="0"/>
      <w:jc w:val="center"/>
    </w:pPr>
    <w:rPr>
      <w:sz w:val="18"/>
      <w:szCs w:val="18"/>
    </w:rPr>
  </w:style>
  <w:style w:type="paragraph" w:styleId="4">
    <w:name w:val="toc 4"/>
    <w:basedOn w:val="ac"/>
    <w:next w:val="ac"/>
    <w:uiPriority w:val="39"/>
    <w:unhideWhenUsed/>
    <w:qFormat/>
    <w:pPr>
      <w:tabs>
        <w:tab w:val="right" w:leader="dot" w:pos="9344"/>
      </w:tabs>
      <w:adjustRightInd w:val="0"/>
      <w:spacing w:line="300" w:lineRule="exact"/>
      <w:ind w:left="629"/>
    </w:pPr>
    <w:rPr>
      <w:rFonts w:ascii="宋体"/>
      <w:szCs w:val="21"/>
    </w:rPr>
  </w:style>
  <w:style w:type="paragraph" w:styleId="afd">
    <w:name w:val="Normal (Web)"/>
    <w:basedOn w:val="ac"/>
    <w:uiPriority w:val="99"/>
    <w:semiHidden/>
    <w:unhideWhenUsed/>
    <w:qFormat/>
    <w:rPr>
      <w:sz w:val="24"/>
    </w:rPr>
  </w:style>
  <w:style w:type="paragraph" w:styleId="afe">
    <w:name w:val="Title"/>
    <w:basedOn w:val="ac"/>
    <w:next w:val="ac"/>
    <w:link w:val="aff"/>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0">
    <w:name w:val="annotation subject"/>
    <w:basedOn w:val="af0"/>
    <w:next w:val="af0"/>
    <w:link w:val="aff1"/>
    <w:uiPriority w:val="99"/>
    <w:semiHidden/>
    <w:unhideWhenUsed/>
    <w:qFormat/>
    <w:pPr>
      <w:adjustRightInd/>
      <w:spacing w:line="240" w:lineRule="auto"/>
    </w:pPr>
    <w:rPr>
      <w:b/>
      <w:bCs/>
      <w:szCs w:val="24"/>
    </w:rPr>
  </w:style>
  <w:style w:type="table" w:styleId="aff2">
    <w:name w:val="Table Grid"/>
    <w:basedOn w:val="ae"/>
    <w:uiPriority w:val="39"/>
    <w:qFormat/>
    <w:pPr>
      <w:widowControl w:val="0"/>
      <w:jc w:val="both"/>
    </w:pPr>
    <w:tblPr>
      <w:tblBorders>
        <w:top w:val="single" w:sz="4" w:space="0" w:color="auto"/>
        <w:bottom w:val="single" w:sz="4" w:space="0" w:color="auto"/>
      </w:tblBorders>
    </w:tblPr>
  </w:style>
  <w:style w:type="character" w:styleId="aff3">
    <w:name w:val="Strong"/>
    <w:basedOn w:val="ad"/>
    <w:uiPriority w:val="22"/>
    <w:qFormat/>
    <w:rPr>
      <w:b/>
    </w:rPr>
  </w:style>
  <w:style w:type="character" w:styleId="aff4">
    <w:name w:val="endnote reference"/>
    <w:basedOn w:val="ad"/>
    <w:uiPriority w:val="99"/>
    <w:semiHidden/>
    <w:unhideWhenUsed/>
    <w:qFormat/>
    <w:rPr>
      <w:vertAlign w:val="superscript"/>
    </w:rPr>
  </w:style>
  <w:style w:type="character" w:styleId="aff5">
    <w:name w:val="line number"/>
    <w:qFormat/>
  </w:style>
  <w:style w:type="character" w:styleId="aff6">
    <w:name w:val="Hyperlink"/>
    <w:qFormat/>
    <w:rPr>
      <w:rFonts w:ascii="宋体" w:eastAsia="宋体"/>
      <w:color w:val="auto"/>
      <w:spacing w:val="0"/>
      <w:w w:val="100"/>
      <w:position w:val="0"/>
      <w:sz w:val="21"/>
      <w:u w:val="none"/>
      <w:vertAlign w:val="baseline"/>
    </w:rPr>
  </w:style>
  <w:style w:type="character" w:styleId="aff7">
    <w:name w:val="annotation reference"/>
    <w:uiPriority w:val="99"/>
    <w:qFormat/>
    <w:rPr>
      <w:sz w:val="21"/>
    </w:rPr>
  </w:style>
  <w:style w:type="character" w:styleId="aff8">
    <w:name w:val="footnote reference"/>
    <w:qFormat/>
    <w:rPr>
      <w:vertAlign w:val="superscript"/>
    </w:rPr>
  </w:style>
  <w:style w:type="paragraph" w:customStyle="1" w:styleId="BodyText2">
    <w:name w:val="BodyText2"/>
    <w:basedOn w:val="ac"/>
    <w:qFormat/>
    <w:pPr>
      <w:spacing w:after="120" w:line="480" w:lineRule="auto"/>
      <w:textAlignment w:val="baseline"/>
    </w:pPr>
    <w:rPr>
      <w:rFonts w:cs="Times New Roman"/>
      <w:sz w:val="32"/>
      <w:szCs w:val="32"/>
    </w:rPr>
  </w:style>
  <w:style w:type="paragraph" w:customStyle="1" w:styleId="-1">
    <w:name w:val="正文-公1"/>
    <w:uiPriority w:val="99"/>
    <w:qFormat/>
    <w:pPr>
      <w:widowControl w:val="0"/>
      <w:suppressAutoHyphens/>
      <w:jc w:val="both"/>
    </w:pPr>
    <w:rPr>
      <w:rFonts w:ascii="Calibri" w:hAnsi="Calibri"/>
      <w:kern w:val="2"/>
      <w:sz w:val="21"/>
      <w:szCs w:val="24"/>
    </w:rPr>
  </w:style>
  <w:style w:type="character" w:customStyle="1" w:styleId="70">
    <w:name w:val="标题 7 字符"/>
    <w:link w:val="7"/>
    <w:qFormat/>
    <w:rPr>
      <w:rFonts w:eastAsia="宋体"/>
      <w:b/>
      <w:bCs/>
      <w:kern w:val="2"/>
      <w:sz w:val="24"/>
      <w:szCs w:val="24"/>
    </w:rPr>
  </w:style>
  <w:style w:type="character" w:customStyle="1" w:styleId="af1">
    <w:name w:val="批注文字 字符"/>
    <w:link w:val="af0"/>
    <w:uiPriority w:val="99"/>
    <w:qFormat/>
    <w:rPr>
      <w:rFonts w:ascii="Calibri" w:eastAsia="宋体" w:hAnsi="Calibri"/>
      <w:kern w:val="2"/>
      <w:sz w:val="21"/>
      <w:szCs w:val="21"/>
    </w:rPr>
  </w:style>
  <w:style w:type="character" w:customStyle="1" w:styleId="af7">
    <w:name w:val="批注框文本 字符"/>
    <w:link w:val="af6"/>
    <w:uiPriority w:val="99"/>
    <w:semiHidden/>
    <w:qFormat/>
    <w:rPr>
      <w:rFonts w:eastAsia="宋体"/>
      <w:kern w:val="2"/>
      <w:sz w:val="18"/>
      <w:szCs w:val="18"/>
    </w:rPr>
  </w:style>
  <w:style w:type="character" w:customStyle="1" w:styleId="af9">
    <w:name w:val="页脚 字符"/>
    <w:link w:val="af8"/>
    <w:uiPriority w:val="99"/>
    <w:qFormat/>
    <w:locked/>
    <w:rPr>
      <w:rFonts w:eastAsia="宋体"/>
      <w:kern w:val="2"/>
      <w:sz w:val="18"/>
      <w:szCs w:val="18"/>
    </w:rPr>
  </w:style>
  <w:style w:type="paragraph" w:customStyle="1" w:styleId="aff9">
    <w:name w:val="其他标准称谓"/>
    <w:qFormat/>
    <w:pPr>
      <w:spacing w:line="0" w:lineRule="atLeast"/>
      <w:jc w:val="distribute"/>
    </w:pPr>
    <w:rPr>
      <w:rFonts w:ascii="黑体" w:eastAsia="黑体" w:hAnsi="Calibri" w:cs="Calibri"/>
      <w:sz w:val="52"/>
    </w:rPr>
  </w:style>
  <w:style w:type="paragraph" w:customStyle="1" w:styleId="10">
    <w:name w:val="封面标准号1"/>
    <w:qFormat/>
    <w:pPr>
      <w:widowControl w:val="0"/>
      <w:kinsoku w:val="0"/>
      <w:overflowPunct w:val="0"/>
      <w:autoSpaceDE w:val="0"/>
      <w:autoSpaceDN w:val="0"/>
      <w:spacing w:before="308"/>
      <w:jc w:val="right"/>
      <w:textAlignment w:val="center"/>
    </w:pPr>
    <w:rPr>
      <w:rFonts w:ascii="Calibri" w:hAnsi="Calibri" w:cs="Calibri"/>
      <w:sz w:val="28"/>
    </w:rPr>
  </w:style>
  <w:style w:type="paragraph" w:customStyle="1" w:styleId="affa">
    <w:name w:val="标准文件_段"/>
    <w:link w:val="Char"/>
    <w:qFormat/>
    <w:pPr>
      <w:autoSpaceDE w:val="0"/>
      <w:autoSpaceDN w:val="0"/>
      <w:spacing w:line="520" w:lineRule="exact"/>
      <w:ind w:firstLineChars="200" w:firstLine="640"/>
      <w:jc w:val="both"/>
    </w:pPr>
    <w:rPr>
      <w:rFonts w:ascii="仿宋" w:eastAsia="仿宋" w:hAnsi="仿宋" w:cs="Calibri"/>
      <w:kern w:val="2"/>
      <w:sz w:val="32"/>
      <w:szCs w:val="32"/>
    </w:rPr>
  </w:style>
  <w:style w:type="character" w:customStyle="1" w:styleId="Char">
    <w:name w:val="标准文件_段 Char"/>
    <w:link w:val="affa"/>
    <w:qFormat/>
    <w:rPr>
      <w:rFonts w:ascii="仿宋" w:eastAsia="仿宋" w:hAnsi="仿宋" w:cs="Calibri"/>
      <w:kern w:val="2"/>
      <w:sz w:val="32"/>
      <w:szCs w:val="32"/>
    </w:rPr>
  </w:style>
  <w:style w:type="paragraph" w:customStyle="1" w:styleId="a6">
    <w:name w:val="标准文件_章标题"/>
    <w:next w:val="affa"/>
    <w:qFormat/>
    <w:pPr>
      <w:numPr>
        <w:ilvl w:val="1"/>
        <w:numId w:val="1"/>
      </w:numPr>
      <w:spacing w:beforeLines="100" w:before="100" w:afterLines="100" w:after="100"/>
      <w:jc w:val="both"/>
      <w:outlineLvl w:val="0"/>
    </w:pPr>
    <w:rPr>
      <w:rFonts w:ascii="黑体" w:eastAsia="黑体" w:hAnsi="Calibri" w:cs="Calibri"/>
      <w:sz w:val="21"/>
    </w:rPr>
  </w:style>
  <w:style w:type="paragraph" w:customStyle="1" w:styleId="affb">
    <w:name w:val="标准文件_二级条标题"/>
    <w:next w:val="affa"/>
    <w:qFormat/>
    <w:pPr>
      <w:widowControl w:val="0"/>
      <w:spacing w:beforeLines="50" w:before="50" w:afterLines="50" w:after="50"/>
      <w:jc w:val="both"/>
      <w:outlineLvl w:val="2"/>
    </w:pPr>
    <w:rPr>
      <w:rFonts w:ascii="黑体" w:eastAsia="黑体" w:hAnsi="Calibri" w:cs="Calibri"/>
      <w:sz w:val="21"/>
    </w:rPr>
  </w:style>
  <w:style w:type="paragraph" w:customStyle="1" w:styleId="a7">
    <w:name w:val="标准文件_一级条标题"/>
    <w:basedOn w:val="a6"/>
    <w:next w:val="affa"/>
    <w:qFormat/>
    <w:pPr>
      <w:numPr>
        <w:ilvl w:val="2"/>
      </w:numPr>
      <w:spacing w:beforeLines="0" w:before="50" w:afterLines="0" w:after="50"/>
      <w:outlineLvl w:val="1"/>
    </w:pPr>
  </w:style>
  <w:style w:type="paragraph" w:customStyle="1" w:styleId="affc">
    <w:name w:val="标准文件_三级条标题"/>
    <w:basedOn w:val="affb"/>
    <w:next w:val="affa"/>
    <w:qFormat/>
    <w:pPr>
      <w:outlineLvl w:val="3"/>
    </w:pPr>
  </w:style>
  <w:style w:type="paragraph" w:customStyle="1" w:styleId="affd">
    <w:name w:val="标准文件_四级条标题"/>
    <w:next w:val="affa"/>
    <w:qFormat/>
    <w:pPr>
      <w:widowControl w:val="0"/>
      <w:spacing w:beforeLines="50" w:before="50" w:afterLines="50" w:after="50"/>
      <w:jc w:val="both"/>
      <w:outlineLvl w:val="4"/>
    </w:pPr>
    <w:rPr>
      <w:rFonts w:ascii="黑体" w:eastAsia="黑体" w:hAnsi="Calibri" w:cs="Calibri"/>
      <w:sz w:val="21"/>
    </w:rPr>
  </w:style>
  <w:style w:type="paragraph" w:customStyle="1" w:styleId="aa">
    <w:name w:val="标准文件_五级条标题"/>
    <w:next w:val="affb"/>
    <w:qFormat/>
    <w:pPr>
      <w:widowControl w:val="0"/>
      <w:numPr>
        <w:ilvl w:val="6"/>
        <w:numId w:val="1"/>
      </w:numPr>
      <w:spacing w:beforeLines="50" w:before="50" w:afterLines="50" w:after="50"/>
      <w:jc w:val="both"/>
      <w:outlineLvl w:val="5"/>
    </w:pPr>
    <w:rPr>
      <w:rFonts w:ascii="黑体" w:eastAsia="黑体" w:hAnsi="Calibri" w:cs="Calibri"/>
      <w:sz w:val="21"/>
    </w:rPr>
  </w:style>
  <w:style w:type="paragraph" w:customStyle="1" w:styleId="a5">
    <w:name w:val="前言标题"/>
    <w:next w:val="ac"/>
    <w:qFormat/>
    <w:pPr>
      <w:numPr>
        <w:numId w:val="1"/>
      </w:numPr>
      <w:shd w:val="clear" w:color="FFFFFF" w:fill="FFFFFF"/>
      <w:spacing w:before="540" w:after="600"/>
      <w:jc w:val="center"/>
      <w:outlineLvl w:val="0"/>
    </w:pPr>
    <w:rPr>
      <w:rFonts w:ascii="黑体" w:eastAsia="黑体" w:hAnsi="Calibri" w:cs="Calibri"/>
      <w:sz w:val="32"/>
    </w:rPr>
  </w:style>
  <w:style w:type="paragraph" w:customStyle="1" w:styleId="a9">
    <w:name w:val="标准文件_四级无标题"/>
    <w:basedOn w:val="affd"/>
    <w:qFormat/>
    <w:pPr>
      <w:numPr>
        <w:ilvl w:val="5"/>
        <w:numId w:val="1"/>
      </w:numPr>
    </w:pPr>
    <w:rPr>
      <w:rFonts w:ascii="宋体" w:eastAsia="宋体"/>
      <w:szCs w:val="52"/>
    </w:rPr>
  </w:style>
  <w:style w:type="paragraph" w:customStyle="1" w:styleId="a8">
    <w:name w:val="标准文件_三级无标题"/>
    <w:basedOn w:val="affc"/>
    <w:qFormat/>
    <w:pPr>
      <w:numPr>
        <w:ilvl w:val="4"/>
        <w:numId w:val="1"/>
      </w:numPr>
    </w:pPr>
    <w:rPr>
      <w:rFonts w:ascii="宋体" w:eastAsia="宋体"/>
    </w:rPr>
  </w:style>
  <w:style w:type="paragraph" w:customStyle="1" w:styleId="a">
    <w:name w:val="标准文件_正文表标题"/>
    <w:qFormat/>
    <w:pPr>
      <w:numPr>
        <w:numId w:val="2"/>
      </w:numPr>
      <w:tabs>
        <w:tab w:val="left" w:pos="0"/>
      </w:tabs>
      <w:spacing w:beforeLines="50" w:before="50" w:afterLines="50" w:after="50"/>
      <w:jc w:val="center"/>
    </w:pPr>
    <w:rPr>
      <w:rFonts w:ascii="黑体" w:eastAsia="黑体" w:hAnsi="Calibri" w:cs="Calibri"/>
      <w:sz w:val="21"/>
    </w:rPr>
  </w:style>
  <w:style w:type="character" w:customStyle="1" w:styleId="font11">
    <w:name w:val="font11"/>
    <w:qFormat/>
    <w:rPr>
      <w:rFonts w:ascii="等线" w:eastAsia="等线"/>
      <w:b/>
      <w:bCs/>
      <w:color w:val="FF0000"/>
      <w:sz w:val="22"/>
      <w:szCs w:val="22"/>
      <w:u w:val="none"/>
    </w:rPr>
  </w:style>
  <w:style w:type="character" w:customStyle="1" w:styleId="font01">
    <w:name w:val="font01"/>
    <w:qFormat/>
    <w:rPr>
      <w:rFonts w:ascii="等线" w:eastAsia="等线"/>
      <w:color w:val="000000"/>
      <w:sz w:val="22"/>
      <w:szCs w:val="22"/>
      <w:u w:val="none"/>
    </w:rPr>
  </w:style>
  <w:style w:type="paragraph" w:customStyle="1" w:styleId="affe">
    <w:name w:val="段"/>
    <w:qFormat/>
    <w:pPr>
      <w:autoSpaceDE w:val="0"/>
      <w:autoSpaceDN w:val="0"/>
      <w:ind w:firstLineChars="200" w:firstLine="200"/>
      <w:jc w:val="both"/>
    </w:pPr>
    <w:rPr>
      <w:rFonts w:ascii="宋体" w:hAnsi="Calibri" w:cs="Calibri"/>
      <w:sz w:val="21"/>
    </w:rPr>
  </w:style>
  <w:style w:type="paragraph" w:customStyle="1" w:styleId="afff">
    <w:name w:val="二级无"/>
    <w:basedOn w:val="ac"/>
    <w:qFormat/>
    <w:pPr>
      <w:widowControl/>
      <w:tabs>
        <w:tab w:val="left" w:pos="780"/>
      </w:tabs>
      <w:ind w:left="780" w:hanging="360"/>
      <w:jc w:val="left"/>
      <w:outlineLvl w:val="3"/>
    </w:pPr>
    <w:rPr>
      <w:rFonts w:ascii="宋体"/>
      <w:kern w:val="0"/>
      <w:szCs w:val="21"/>
    </w:rPr>
  </w:style>
  <w:style w:type="paragraph" w:customStyle="1" w:styleId="afff0">
    <w:name w:val="标准文件_二级无标题"/>
    <w:basedOn w:val="affb"/>
    <w:qFormat/>
    <w:pPr>
      <w:tabs>
        <w:tab w:val="left" w:pos="1200"/>
      </w:tabs>
      <w:spacing w:beforeLines="0" w:before="0" w:afterLines="0" w:after="0"/>
      <w:ind w:left="1200" w:hanging="360"/>
      <w:outlineLvl w:val="9"/>
    </w:pPr>
    <w:rPr>
      <w:rFonts w:ascii="宋体" w:eastAsia="宋体"/>
    </w:rPr>
  </w:style>
  <w:style w:type="paragraph" w:customStyle="1" w:styleId="CharCharCharChar">
    <w:name w:val="Char Char Char Char"/>
    <w:basedOn w:val="ac"/>
    <w:qFormat/>
  </w:style>
  <w:style w:type="paragraph" w:customStyle="1" w:styleId="a3">
    <w:name w:val="标准文件_数字编号列项（二级）"/>
    <w:qFormat/>
    <w:pPr>
      <w:numPr>
        <w:ilvl w:val="1"/>
        <w:numId w:val="3"/>
      </w:numPr>
      <w:jc w:val="both"/>
    </w:pPr>
    <w:rPr>
      <w:rFonts w:ascii="宋体" w:hAnsi="Calibri" w:cs="Calibri"/>
      <w:sz w:val="21"/>
    </w:rPr>
  </w:style>
  <w:style w:type="paragraph" w:customStyle="1" w:styleId="a4">
    <w:name w:val="标准文件_编号列项（三级）"/>
    <w:qFormat/>
    <w:pPr>
      <w:numPr>
        <w:ilvl w:val="2"/>
        <w:numId w:val="3"/>
      </w:numPr>
    </w:pPr>
    <w:rPr>
      <w:rFonts w:ascii="宋体" w:hAnsi="Calibri" w:cs="Calibri"/>
      <w:sz w:val="21"/>
    </w:rPr>
  </w:style>
  <w:style w:type="paragraph" w:customStyle="1" w:styleId="a2">
    <w:name w:val="标准文件_字母编号列项（一级）"/>
    <w:qFormat/>
    <w:pPr>
      <w:numPr>
        <w:numId w:val="3"/>
      </w:numPr>
      <w:jc w:val="both"/>
    </w:pPr>
    <w:rPr>
      <w:rFonts w:ascii="宋体" w:hAnsi="Calibri" w:cs="Calibri"/>
      <w:sz w:val="21"/>
    </w:rPr>
  </w:style>
  <w:style w:type="paragraph" w:customStyle="1" w:styleId="afff1">
    <w:name w:val="标准文件_术语条一"/>
    <w:basedOn w:val="ac"/>
    <w:next w:val="affa"/>
    <w:qFormat/>
    <w:pPr>
      <w:widowControl/>
    </w:pPr>
    <w:rPr>
      <w:rFonts w:ascii="宋体"/>
      <w:kern w:val="0"/>
      <w:szCs w:val="20"/>
    </w:rPr>
  </w:style>
  <w:style w:type="paragraph" w:customStyle="1" w:styleId="abstract">
    <w:name w:val="abstract"/>
    <w:basedOn w:val="ac"/>
    <w:qFormat/>
    <w:pPr>
      <w:widowControl/>
      <w:spacing w:before="100" w:beforeAutospacing="1" w:after="100" w:afterAutospacing="1"/>
      <w:jc w:val="left"/>
    </w:pPr>
    <w:rPr>
      <w:rFonts w:ascii="宋体" w:hAnsi="宋体" w:cs="宋体"/>
      <w:kern w:val="0"/>
      <w:sz w:val="24"/>
    </w:rPr>
  </w:style>
  <w:style w:type="paragraph" w:customStyle="1" w:styleId="abstractmore">
    <w:name w:val="abstract_more"/>
    <w:basedOn w:val="ac"/>
    <w:qFormat/>
    <w:pPr>
      <w:widowControl/>
      <w:spacing w:before="100" w:beforeAutospacing="1" w:after="100" w:afterAutospacing="1"/>
      <w:jc w:val="left"/>
    </w:pPr>
    <w:rPr>
      <w:rFonts w:ascii="宋体" w:hAnsi="宋体" w:cs="宋体"/>
      <w:kern w:val="0"/>
      <w:sz w:val="24"/>
    </w:rPr>
  </w:style>
  <w:style w:type="paragraph" w:styleId="afff2">
    <w:name w:val="No Spacing"/>
    <w:uiPriority w:val="99"/>
    <w:qFormat/>
    <w:pPr>
      <w:widowControl w:val="0"/>
      <w:jc w:val="both"/>
    </w:pPr>
    <w:rPr>
      <w:rFonts w:ascii="Calibri" w:hAnsi="Calibri"/>
      <w:kern w:val="2"/>
      <w:sz w:val="21"/>
      <w:szCs w:val="24"/>
    </w:rPr>
  </w:style>
  <w:style w:type="paragraph" w:customStyle="1" w:styleId="a1">
    <w:name w:val="标准文件_一级项"/>
    <w:qFormat/>
    <w:pPr>
      <w:numPr>
        <w:numId w:val="4"/>
      </w:numPr>
    </w:pPr>
    <w:rPr>
      <w:rFonts w:ascii="宋体"/>
      <w:sz w:val="21"/>
    </w:rPr>
  </w:style>
  <w:style w:type="paragraph" w:customStyle="1" w:styleId="ab">
    <w:name w:val="附录表标题"/>
    <w:basedOn w:val="ac"/>
    <w:next w:val="affe"/>
    <w:qFormat/>
    <w:pPr>
      <w:numPr>
        <w:ilvl w:val="1"/>
        <w:numId w:val="5"/>
      </w:numPr>
      <w:tabs>
        <w:tab w:val="left" w:pos="180"/>
      </w:tabs>
      <w:spacing w:beforeLines="50" w:afterLines="50"/>
      <w:ind w:left="0" w:firstLine="0"/>
      <w:jc w:val="center"/>
    </w:pPr>
    <w:rPr>
      <w:rFonts w:ascii="黑体" w:eastAsia="黑体" w:hAnsi="Times New Roman" w:cs="Times New Roman"/>
      <w:szCs w:val="21"/>
    </w:rPr>
  </w:style>
  <w:style w:type="paragraph" w:styleId="afff3">
    <w:name w:val="List Paragraph"/>
    <w:basedOn w:val="ac"/>
    <w:uiPriority w:val="99"/>
    <w:unhideWhenUsed/>
    <w:qFormat/>
    <w:pPr>
      <w:ind w:firstLineChars="200" w:firstLine="420"/>
    </w:pPr>
    <w:rPr>
      <w:rFonts w:ascii="Times New Roman" w:hAnsi="Times New Roman" w:cs="Times New Roman"/>
    </w:rPr>
  </w:style>
  <w:style w:type="character" w:customStyle="1" w:styleId="afc">
    <w:name w:val="页眉 字符"/>
    <w:basedOn w:val="ad"/>
    <w:link w:val="afb"/>
    <w:qFormat/>
    <w:rPr>
      <w:rFonts w:ascii="Calibri" w:hAnsi="Calibri" w:cs="Calibri"/>
      <w:kern w:val="2"/>
      <w:sz w:val="18"/>
      <w:szCs w:val="18"/>
    </w:rPr>
  </w:style>
  <w:style w:type="character" w:customStyle="1" w:styleId="aff1">
    <w:name w:val="批注主题 字符"/>
    <w:basedOn w:val="af1"/>
    <w:link w:val="aff0"/>
    <w:uiPriority w:val="99"/>
    <w:semiHidden/>
    <w:qFormat/>
    <w:rPr>
      <w:rFonts w:ascii="Calibri" w:eastAsia="宋体" w:hAnsi="Calibri" w:cs="Calibri"/>
      <w:b/>
      <w:bCs/>
      <w:kern w:val="2"/>
      <w:sz w:val="21"/>
      <w:szCs w:val="24"/>
    </w:rPr>
  </w:style>
  <w:style w:type="character" w:customStyle="1" w:styleId="af5">
    <w:name w:val="尾注文本 字符"/>
    <w:basedOn w:val="ad"/>
    <w:link w:val="af4"/>
    <w:uiPriority w:val="99"/>
    <w:semiHidden/>
    <w:qFormat/>
    <w:rPr>
      <w:rFonts w:ascii="Calibri" w:hAnsi="Calibri" w:cs="Calibri"/>
      <w:kern w:val="2"/>
      <w:sz w:val="21"/>
      <w:szCs w:val="24"/>
    </w:rPr>
  </w:style>
  <w:style w:type="paragraph" w:customStyle="1" w:styleId="a0">
    <w:name w:val="标准文件_方框数字列项"/>
    <w:basedOn w:val="affa"/>
    <w:qFormat/>
    <w:pPr>
      <w:numPr>
        <w:numId w:val="6"/>
      </w:numPr>
      <w:spacing w:line="240" w:lineRule="auto"/>
      <w:ind w:firstLineChars="0" w:firstLine="0"/>
    </w:pPr>
    <w:rPr>
      <w:rFonts w:ascii="宋体" w:eastAsia="宋体" w:hAnsi="Times New Roman" w:cs="Times New Roman"/>
      <w:kern w:val="0"/>
      <w:sz w:val="21"/>
      <w:szCs w:val="20"/>
    </w:rPr>
  </w:style>
  <w:style w:type="character" w:customStyle="1" w:styleId="af3">
    <w:name w:val="日期 字符"/>
    <w:basedOn w:val="ad"/>
    <w:link w:val="af2"/>
    <w:uiPriority w:val="99"/>
    <w:semiHidden/>
    <w:qFormat/>
    <w:rPr>
      <w:rFonts w:ascii="Calibri" w:hAnsi="Calibri" w:cs="Calibri"/>
      <w:kern w:val="2"/>
      <w:sz w:val="21"/>
      <w:szCs w:val="24"/>
    </w:rPr>
  </w:style>
  <w:style w:type="character" w:customStyle="1" w:styleId="aff">
    <w:name w:val="标题 字符"/>
    <w:basedOn w:val="ad"/>
    <w:link w:val="afe"/>
    <w:uiPriority w:val="10"/>
    <w:qFormat/>
    <w:rPr>
      <w:rFonts w:asciiTheme="majorHAnsi" w:eastAsiaTheme="majorEastAsia" w:hAnsiTheme="majorHAnsi" w:cstheme="majorBidi"/>
      <w:b/>
      <w:bCs/>
      <w:kern w:val="2"/>
      <w:sz w:val="32"/>
      <w:szCs w:val="32"/>
    </w:rPr>
  </w:style>
  <w:style w:type="paragraph" w:customStyle="1" w:styleId="afff4">
    <w:name w:val="标准文件_表格"/>
    <w:basedOn w:val="affa"/>
    <w:qFormat/>
    <w:pPr>
      <w:spacing w:line="240" w:lineRule="auto"/>
      <w:ind w:firstLineChars="0" w:firstLine="0"/>
      <w:jc w:val="center"/>
    </w:pPr>
    <w:rPr>
      <w:rFonts w:ascii="宋体" w:eastAsia="宋体" w:hAnsi="Times New Roman" w:cs="Times New Roman"/>
      <w:kern w:val="0"/>
      <w:sz w:val="18"/>
      <w:szCs w:val="20"/>
    </w:rPr>
  </w:style>
  <w:style w:type="table" w:customStyle="1" w:styleId="11">
    <w:name w:val="网格型1"/>
    <w:basedOn w:val="ae"/>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7DC137-5CB5-4552-A4AE-AEA2F3275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14</Pages>
  <Words>1266</Words>
  <Characters>7218</Characters>
  <Application>Microsoft Office Word</Application>
  <DocSecurity>0</DocSecurity>
  <Lines>60</Lines>
  <Paragraphs>16</Paragraphs>
  <ScaleCrop>false</ScaleCrop>
  <Company>微软中国</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366</cp:revision>
  <cp:lastPrinted>2025-05-16T19:41:00Z</cp:lastPrinted>
  <dcterms:created xsi:type="dcterms:W3CDTF">2024-09-30T17:06:00Z</dcterms:created>
  <dcterms:modified xsi:type="dcterms:W3CDTF">2025-09-05T09:45:00Z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2052-12.0.0.21573</vt:lpwstr>
  </property>
  <property fmtid="{D5CDD505-2E9C-101B-9397-08002B2CF9AE}" pid="3" name="ICV">
    <vt:lpwstr>A922D90BF3B641DA8C66AE267C36FA1E_13</vt:lpwstr>
  </property>
</Properties>
</file>